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5A" w:rsidRDefault="007F7384" w:rsidP="00AC675A">
      <w:pPr>
        <w:jc w:val="center"/>
        <w:rPr>
          <w:b/>
          <w:sz w:val="36"/>
          <w:szCs w:val="36"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-350520</wp:posOffset>
            </wp:positionV>
            <wp:extent cx="946785" cy="914400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75A" w:rsidRPr="00701B4B" w:rsidRDefault="00AC675A" w:rsidP="00AC675A">
      <w:pPr>
        <w:jc w:val="center"/>
        <w:rPr>
          <w:b/>
          <w:sz w:val="36"/>
          <w:szCs w:val="36"/>
        </w:rPr>
      </w:pPr>
      <w:r w:rsidRPr="00701B4B">
        <w:rPr>
          <w:b/>
          <w:sz w:val="36"/>
          <w:szCs w:val="36"/>
        </w:rPr>
        <w:t>AGENDA</w:t>
      </w:r>
    </w:p>
    <w:p w:rsidR="00AC675A" w:rsidRPr="006A4311" w:rsidRDefault="00AC675A" w:rsidP="00AC675A">
      <w:pPr>
        <w:jc w:val="center"/>
        <w:rPr>
          <w:b/>
        </w:rPr>
      </w:pPr>
    </w:p>
    <w:p w:rsidR="00AC675A" w:rsidRPr="00701B4B" w:rsidRDefault="00AC675A" w:rsidP="00AC6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Smart Grid</w:t>
      </w:r>
      <w:r w:rsidRPr="00701B4B">
        <w:rPr>
          <w:b/>
          <w:sz w:val="32"/>
          <w:szCs w:val="32"/>
        </w:rPr>
        <w:t xml:space="preserve"> Working Group</w:t>
      </w:r>
    </w:p>
    <w:p w:rsidR="00AC675A" w:rsidRDefault="00AC675A" w:rsidP="00AC675A">
      <w:pPr>
        <w:jc w:val="center"/>
        <w:rPr>
          <w:b/>
        </w:rPr>
      </w:pPr>
    </w:p>
    <w:p w:rsidR="00AC675A" w:rsidRPr="00506ECB" w:rsidRDefault="00AC675A" w:rsidP="00AC675A">
      <w:pPr>
        <w:jc w:val="center"/>
        <w:rPr>
          <w:b/>
          <w:sz w:val="22"/>
        </w:rPr>
      </w:pPr>
      <w:r w:rsidRPr="00506ECB">
        <w:rPr>
          <w:b/>
          <w:sz w:val="22"/>
        </w:rPr>
        <w:t>EB-2011-0004</w:t>
      </w:r>
    </w:p>
    <w:p w:rsidR="00AC675A" w:rsidRPr="00506ECB" w:rsidRDefault="009F248D" w:rsidP="00AC675A">
      <w:pPr>
        <w:jc w:val="center"/>
        <w:rPr>
          <w:b/>
          <w:sz w:val="22"/>
        </w:rPr>
      </w:pPr>
      <w:r>
        <w:rPr>
          <w:b/>
          <w:sz w:val="22"/>
        </w:rPr>
        <w:t xml:space="preserve">Meeting </w:t>
      </w:r>
      <w:r w:rsidR="00A97181">
        <w:rPr>
          <w:b/>
          <w:sz w:val="22"/>
        </w:rPr>
        <w:t>2</w:t>
      </w:r>
      <w:r w:rsidR="00AC675A" w:rsidRPr="00506ECB">
        <w:rPr>
          <w:b/>
          <w:sz w:val="22"/>
        </w:rPr>
        <w:t xml:space="preserve">:  </w:t>
      </w:r>
      <w:r>
        <w:rPr>
          <w:b/>
          <w:sz w:val="22"/>
        </w:rPr>
        <w:t xml:space="preserve">November </w:t>
      </w:r>
      <w:r w:rsidR="00A97181">
        <w:rPr>
          <w:b/>
          <w:sz w:val="22"/>
        </w:rPr>
        <w:t>20</w:t>
      </w:r>
      <w:r w:rsidRPr="009F248D">
        <w:rPr>
          <w:b/>
          <w:sz w:val="22"/>
          <w:vertAlign w:val="superscript"/>
        </w:rPr>
        <w:t>th</w:t>
      </w:r>
      <w:r>
        <w:rPr>
          <w:b/>
          <w:sz w:val="22"/>
        </w:rPr>
        <w:t>, 2012</w:t>
      </w:r>
    </w:p>
    <w:p w:rsidR="00AC675A" w:rsidRPr="00506ECB" w:rsidRDefault="00AC675A" w:rsidP="00AC675A">
      <w:pPr>
        <w:jc w:val="center"/>
        <w:rPr>
          <w:b/>
          <w:sz w:val="22"/>
        </w:rPr>
      </w:pPr>
      <w:r w:rsidRPr="00506ECB">
        <w:rPr>
          <w:b/>
          <w:sz w:val="22"/>
        </w:rPr>
        <w:t>9:30 am – 4:45 pm</w:t>
      </w:r>
    </w:p>
    <w:p w:rsidR="00AC675A" w:rsidRPr="00506ECB" w:rsidRDefault="00AC675A" w:rsidP="00AC675A">
      <w:pPr>
        <w:jc w:val="center"/>
        <w:rPr>
          <w:b/>
          <w:sz w:val="22"/>
        </w:rPr>
      </w:pPr>
      <w:r w:rsidRPr="00506ECB">
        <w:rPr>
          <w:b/>
          <w:sz w:val="22"/>
        </w:rPr>
        <w:t xml:space="preserve">2300 </w:t>
      </w:r>
      <w:proofErr w:type="spellStart"/>
      <w:r w:rsidRPr="00506ECB">
        <w:rPr>
          <w:b/>
          <w:sz w:val="22"/>
        </w:rPr>
        <w:t>Yonge</w:t>
      </w:r>
      <w:proofErr w:type="spellEnd"/>
      <w:r w:rsidRPr="00506ECB">
        <w:rPr>
          <w:b/>
          <w:sz w:val="22"/>
        </w:rPr>
        <w:t xml:space="preserve"> Street, 25th Floor    </w:t>
      </w:r>
    </w:p>
    <w:p w:rsidR="00AC675A" w:rsidRPr="00506ECB" w:rsidRDefault="00AC675A" w:rsidP="00AC675A">
      <w:pPr>
        <w:jc w:val="center"/>
        <w:rPr>
          <w:b/>
          <w:sz w:val="22"/>
        </w:rPr>
      </w:pPr>
      <w:r w:rsidRPr="00506ECB">
        <w:rPr>
          <w:b/>
          <w:sz w:val="22"/>
        </w:rPr>
        <w:t xml:space="preserve">Room – </w:t>
      </w:r>
      <w:r w:rsidR="002938F1">
        <w:rPr>
          <w:b/>
          <w:sz w:val="22"/>
        </w:rPr>
        <w:t>West Hearing Room</w:t>
      </w:r>
      <w:bookmarkStart w:id="0" w:name="_GoBack"/>
      <w:bookmarkEnd w:id="0"/>
    </w:p>
    <w:p w:rsidR="00AC675A" w:rsidRPr="006C645F" w:rsidRDefault="00AC675A" w:rsidP="00AC675A">
      <w:pPr>
        <w:jc w:val="center"/>
      </w:pPr>
    </w:p>
    <w:tbl>
      <w:tblPr>
        <w:tblpPr w:leftFromText="180" w:rightFromText="180" w:vertAnchor="page" w:horzAnchor="margin" w:tblpY="7088"/>
        <w:tblW w:w="5000" w:type="pct"/>
        <w:tbl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H w:val="single" w:sz="8" w:space="0" w:color="6666FF" w:themeColor="accent2"/>
          <w:insideV w:val="single" w:sz="8" w:space="0" w:color="6666FF" w:themeColor="accent2"/>
        </w:tblBorders>
        <w:tblLook w:val="04A0" w:firstRow="1" w:lastRow="0" w:firstColumn="1" w:lastColumn="0" w:noHBand="0" w:noVBand="1"/>
      </w:tblPr>
      <w:tblGrid>
        <w:gridCol w:w="1548"/>
        <w:gridCol w:w="6391"/>
        <w:gridCol w:w="1637"/>
      </w:tblGrid>
      <w:tr w:rsidR="00AC675A" w:rsidRPr="00571C99" w:rsidTr="00AC675A">
        <w:trPr>
          <w:trHeight w:val="520"/>
        </w:trPr>
        <w:tc>
          <w:tcPr>
            <w:tcW w:w="808" w:type="pct"/>
            <w:tcBorders>
              <w:bottom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>9:30 – 9:40</w:t>
            </w:r>
          </w:p>
        </w:tc>
        <w:tc>
          <w:tcPr>
            <w:tcW w:w="3337" w:type="pct"/>
            <w:tcBorders>
              <w:bottom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 xml:space="preserve">Welcome </w:t>
            </w:r>
          </w:p>
        </w:tc>
        <w:tc>
          <w:tcPr>
            <w:tcW w:w="855" w:type="pct"/>
            <w:tcBorders>
              <w:bottom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>Board Staff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tcBorders>
              <w:top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A97181" w:rsidP="00506ECB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9:40 – 10:00</w:t>
            </w:r>
          </w:p>
        </w:tc>
        <w:tc>
          <w:tcPr>
            <w:tcW w:w="3337" w:type="pct"/>
            <w:tcBorders>
              <w:top w:val="single" w:sz="8" w:space="0" w:color="6666FF" w:themeColor="accent2"/>
            </w:tcBorders>
            <w:shd w:val="clear" w:color="auto" w:fill="auto"/>
            <w:vAlign w:val="center"/>
          </w:tcPr>
          <w:p w:rsidR="00AC675A" w:rsidRPr="00A97181" w:rsidRDefault="009F248D" w:rsidP="00A97181">
            <w:pPr>
              <w:spacing w:before="60" w:after="60"/>
              <w:rPr>
                <w:sz w:val="22"/>
                <w:szCs w:val="22"/>
              </w:rPr>
            </w:pPr>
            <w:r w:rsidRPr="00A97181">
              <w:rPr>
                <w:sz w:val="22"/>
                <w:szCs w:val="22"/>
              </w:rPr>
              <w:t>Presentation</w:t>
            </w:r>
            <w:r w:rsidR="00A97181" w:rsidRPr="00A97181">
              <w:rPr>
                <w:sz w:val="22"/>
                <w:szCs w:val="22"/>
              </w:rPr>
              <w:t xml:space="preserve"> on Staff “Straw Man” Proposal</w:t>
            </w:r>
          </w:p>
        </w:tc>
        <w:tc>
          <w:tcPr>
            <w:tcW w:w="855" w:type="pct"/>
            <w:tcBorders>
              <w:top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Board Staff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C675A" w:rsidRPr="00AC675A" w:rsidRDefault="009F248D" w:rsidP="00A97181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10:</w:t>
            </w:r>
            <w:r w:rsidR="00A97181">
              <w:rPr>
                <w:rFonts w:eastAsiaTheme="majorEastAsia"/>
                <w:bCs/>
              </w:rPr>
              <w:t>0</w:t>
            </w:r>
            <w:r>
              <w:rPr>
                <w:rFonts w:eastAsiaTheme="majorEastAsia"/>
                <w:bCs/>
              </w:rPr>
              <w:t>0 – 10:</w:t>
            </w:r>
            <w:r w:rsidR="00A97181">
              <w:rPr>
                <w:rFonts w:eastAsiaTheme="majorEastAsia"/>
                <w:bCs/>
              </w:rPr>
              <w:t>1</w:t>
            </w:r>
            <w:r>
              <w:rPr>
                <w:rFonts w:eastAsiaTheme="majorEastAsia"/>
                <w:bCs/>
              </w:rPr>
              <w:t>5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C675A" w:rsidRPr="00A97181" w:rsidRDefault="00A97181" w:rsidP="008F7C9A">
            <w:pPr>
              <w:spacing w:before="60" w:after="60"/>
              <w:rPr>
                <w:sz w:val="22"/>
                <w:szCs w:val="22"/>
              </w:rPr>
            </w:pPr>
            <w:r w:rsidRPr="00A97181">
              <w:rPr>
                <w:sz w:val="22"/>
                <w:szCs w:val="22"/>
              </w:rPr>
              <w:t>Overall mapping of Directive’s Objectives discussion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C675A" w:rsidRPr="00AC675A" w:rsidRDefault="009F248D" w:rsidP="00506ECB">
            <w:pPr>
              <w:spacing w:before="60" w:after="60"/>
            </w:pPr>
            <w:r>
              <w:t>All</w:t>
            </w:r>
          </w:p>
        </w:tc>
      </w:tr>
      <w:tr w:rsidR="00A97181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97181" w:rsidRDefault="00A97181" w:rsidP="00A97181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10:15 – 10;45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97181" w:rsidRPr="00A97181" w:rsidRDefault="00A97181" w:rsidP="008F7C9A">
            <w:pPr>
              <w:spacing w:before="60" w:after="60"/>
              <w:rPr>
                <w:sz w:val="22"/>
                <w:szCs w:val="22"/>
              </w:rPr>
            </w:pPr>
            <w:r w:rsidRPr="00A97181">
              <w:rPr>
                <w:sz w:val="22"/>
                <w:szCs w:val="22"/>
              </w:rPr>
              <w:t xml:space="preserve">Energy Services and Education for Customers </w:t>
            </w:r>
            <w:r w:rsidR="003C6E6D">
              <w:rPr>
                <w:sz w:val="22"/>
                <w:szCs w:val="22"/>
              </w:rPr>
              <w:t>discussion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97181" w:rsidRDefault="00A97181" w:rsidP="00506ECB">
            <w:pPr>
              <w:spacing w:before="60" w:after="60"/>
            </w:pPr>
            <w:r>
              <w:t>All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>10:45 – 11:00</w:t>
            </w:r>
          </w:p>
        </w:tc>
        <w:tc>
          <w:tcPr>
            <w:tcW w:w="3337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BREAK</w:t>
            </w:r>
          </w:p>
        </w:tc>
        <w:tc>
          <w:tcPr>
            <w:tcW w:w="855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C675A" w:rsidRPr="00AC675A" w:rsidRDefault="00AC675A" w:rsidP="003C6E6D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>11:00 – 1</w:t>
            </w:r>
            <w:r w:rsidR="003C6E6D">
              <w:rPr>
                <w:rFonts w:eastAsiaTheme="majorEastAsia"/>
                <w:bCs/>
              </w:rPr>
              <w:t>2</w:t>
            </w:r>
            <w:r w:rsidRPr="00AC675A">
              <w:rPr>
                <w:rFonts w:eastAsiaTheme="majorEastAsia"/>
                <w:bCs/>
              </w:rPr>
              <w:t>:</w:t>
            </w:r>
            <w:r w:rsidR="003C6E6D">
              <w:rPr>
                <w:rFonts w:eastAsiaTheme="majorEastAsia"/>
                <w:bCs/>
              </w:rPr>
              <w:t>15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C675A" w:rsidRPr="00AC675A" w:rsidRDefault="003C6E6D" w:rsidP="00506ECB">
            <w:pPr>
              <w:spacing w:before="60" w:after="60"/>
            </w:pPr>
            <w:r w:rsidRPr="00A97181">
              <w:rPr>
                <w:sz w:val="22"/>
                <w:szCs w:val="22"/>
              </w:rPr>
              <w:t>Energy Services and Education for Customers</w:t>
            </w:r>
            <w:r>
              <w:rPr>
                <w:sz w:val="22"/>
                <w:szCs w:val="22"/>
              </w:rPr>
              <w:t xml:space="preserve"> discussion (continued)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All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>12:15 – 1:00</w:t>
            </w:r>
          </w:p>
        </w:tc>
        <w:tc>
          <w:tcPr>
            <w:tcW w:w="3337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LUNCH</w:t>
            </w:r>
          </w:p>
        </w:tc>
        <w:tc>
          <w:tcPr>
            <w:tcW w:w="855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C675A" w:rsidRPr="00AC675A" w:rsidRDefault="00AC675A" w:rsidP="003C6E6D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 xml:space="preserve">1:00 – </w:t>
            </w:r>
            <w:r w:rsidR="003C6E6D">
              <w:rPr>
                <w:rFonts w:eastAsiaTheme="majorEastAsia"/>
                <w:bCs/>
              </w:rPr>
              <w:t>2</w:t>
            </w:r>
            <w:r w:rsidRPr="00AC675A">
              <w:rPr>
                <w:rFonts w:eastAsiaTheme="majorEastAsia"/>
                <w:bCs/>
              </w:rPr>
              <w:t xml:space="preserve">:30 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C675A" w:rsidRPr="00AC675A" w:rsidRDefault="003C6E6D" w:rsidP="003C6E6D">
            <w:pPr>
              <w:spacing w:before="60" w:after="60"/>
            </w:pPr>
            <w:r>
              <w:rPr>
                <w:sz w:val="22"/>
                <w:szCs w:val="22"/>
              </w:rPr>
              <w:t>Network Optimization and Long term View of Investment discussion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All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>2:30 – 2:45</w:t>
            </w:r>
          </w:p>
        </w:tc>
        <w:tc>
          <w:tcPr>
            <w:tcW w:w="3337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BREAK</w:t>
            </w:r>
          </w:p>
        </w:tc>
        <w:tc>
          <w:tcPr>
            <w:tcW w:w="855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C675A" w:rsidRPr="00AC675A" w:rsidRDefault="003C6E6D" w:rsidP="00506ECB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2:45 -  3:15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C675A" w:rsidRPr="00AC675A" w:rsidRDefault="003C6E6D" w:rsidP="00506ECB">
            <w:pPr>
              <w:spacing w:before="60" w:after="60"/>
            </w:pPr>
            <w:r>
              <w:t>Innovation discussion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All</w:t>
            </w:r>
          </w:p>
        </w:tc>
      </w:tr>
      <w:tr w:rsidR="003C6E6D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3C6E6D" w:rsidRDefault="003C6E6D" w:rsidP="003C6E6D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3:15 – 4:00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3C6E6D" w:rsidRDefault="003C6E6D" w:rsidP="003C6E6D">
            <w:pPr>
              <w:spacing w:before="60" w:after="60"/>
            </w:pPr>
            <w:r>
              <w:t>Economic  Development discussion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3C6E6D" w:rsidRPr="00AC675A" w:rsidRDefault="003C6E6D" w:rsidP="00506ECB">
            <w:pPr>
              <w:spacing w:before="60" w:after="60"/>
            </w:pPr>
            <w:r>
              <w:t>All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C675A" w:rsidRPr="00AC675A" w:rsidRDefault="003C6E6D" w:rsidP="003C6E6D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4:00</w:t>
            </w:r>
            <w:r w:rsidR="009F248D">
              <w:rPr>
                <w:rFonts w:eastAsiaTheme="majorEastAsia"/>
                <w:bCs/>
              </w:rPr>
              <w:t xml:space="preserve"> – 4:30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C675A" w:rsidRPr="00AC675A" w:rsidRDefault="003C6E6D" w:rsidP="003C6E6D">
            <w:pPr>
              <w:spacing w:before="60" w:after="60"/>
            </w:pPr>
            <w:r>
              <w:t>Cyber-security and Privacy discussion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C675A" w:rsidRPr="00AC675A" w:rsidRDefault="009F248D" w:rsidP="00506ECB">
            <w:pPr>
              <w:spacing w:before="60" w:after="60"/>
            </w:pPr>
            <w:r>
              <w:t>All</w:t>
            </w:r>
          </w:p>
        </w:tc>
      </w:tr>
      <w:tr w:rsidR="009F248D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9F248D" w:rsidRDefault="009F248D" w:rsidP="00506ECB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 xml:space="preserve">4:30 – 4:45 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9F248D" w:rsidRDefault="009F248D" w:rsidP="00506ECB">
            <w:pPr>
              <w:spacing w:before="60" w:after="60"/>
            </w:pPr>
            <w:r>
              <w:t>Any other business</w:t>
            </w:r>
            <w:r w:rsidR="003C6E6D">
              <w:t>/next steps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F248D" w:rsidRDefault="009F248D" w:rsidP="00506ECB">
            <w:pPr>
              <w:spacing w:before="60" w:after="60"/>
            </w:pPr>
            <w:r>
              <w:t>All</w:t>
            </w:r>
          </w:p>
        </w:tc>
      </w:tr>
    </w:tbl>
    <w:p w:rsidR="00AC675A" w:rsidRDefault="00AC675A" w:rsidP="00AC675A"/>
    <w:sectPr w:rsidR="00AC675A" w:rsidSect="00B14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3E1"/>
    <w:multiLevelType w:val="multilevel"/>
    <w:tmpl w:val="10A263BA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CA61AC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359B2"/>
    <w:multiLevelType w:val="multilevel"/>
    <w:tmpl w:val="AA7289EE"/>
    <w:styleLink w:val="DeloitteMultiLevel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CD1139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E7481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2A57094"/>
    <w:multiLevelType w:val="hybridMultilevel"/>
    <w:tmpl w:val="3932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5204F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F7A37"/>
    <w:multiLevelType w:val="multilevel"/>
    <w:tmpl w:val="AA7289EE"/>
    <w:numStyleLink w:val="DeloitteMultiLevelList"/>
  </w:abstractNum>
  <w:abstractNum w:abstractNumId="8">
    <w:nsid w:val="1A415D4C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D993D1D"/>
    <w:multiLevelType w:val="multilevel"/>
    <w:tmpl w:val="84C875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66"/>
        <w:sz w:val="1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654BDD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40045"/>
    <w:multiLevelType w:val="hybridMultilevel"/>
    <w:tmpl w:val="F968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D7EDF"/>
    <w:multiLevelType w:val="multilevel"/>
    <w:tmpl w:val="0409001D"/>
    <w:styleLink w:val="DeloitteMulti-LevelBulletedList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0066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sz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1C70B7F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0F5E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301B7E"/>
    <w:multiLevelType w:val="multilevel"/>
    <w:tmpl w:val="AA7289EE"/>
    <w:numStyleLink w:val="DeloitteMultiLevelList"/>
  </w:abstractNum>
  <w:abstractNum w:abstractNumId="16">
    <w:nsid w:val="2C5A414B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2325E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6935DDF"/>
    <w:multiLevelType w:val="multilevel"/>
    <w:tmpl w:val="10A263BA"/>
    <w:numStyleLink w:val="Style1"/>
  </w:abstractNum>
  <w:abstractNum w:abstractNumId="19">
    <w:nsid w:val="39C87036"/>
    <w:multiLevelType w:val="multilevel"/>
    <w:tmpl w:val="84C875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66"/>
        <w:sz w:val="1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9A324A"/>
    <w:multiLevelType w:val="multilevel"/>
    <w:tmpl w:val="0409001D"/>
    <w:numStyleLink w:val="DeloitteMulti-LevelBulletedList"/>
  </w:abstractNum>
  <w:abstractNum w:abstractNumId="21">
    <w:nsid w:val="45AA3D57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F147F9"/>
    <w:multiLevelType w:val="hybridMultilevel"/>
    <w:tmpl w:val="E96A1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2641A2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C860737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AB04C4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0510A7"/>
    <w:multiLevelType w:val="hybridMultilevel"/>
    <w:tmpl w:val="28EC37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6E25152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9CE7D0F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AC0358A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B5C1DD7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146524"/>
    <w:multiLevelType w:val="multilevel"/>
    <w:tmpl w:val="84C875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66"/>
        <w:sz w:val="1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5349AE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4320B91"/>
    <w:multiLevelType w:val="multilevel"/>
    <w:tmpl w:val="0409001D"/>
    <w:numStyleLink w:val="DeloitteMulti-LevelBulletedList"/>
  </w:abstractNum>
  <w:abstractNum w:abstractNumId="34">
    <w:nsid w:val="65CC1794"/>
    <w:multiLevelType w:val="multilevel"/>
    <w:tmpl w:val="10A263BA"/>
    <w:numStyleLink w:val="Style1"/>
  </w:abstractNum>
  <w:abstractNum w:abstractNumId="35">
    <w:nsid w:val="66F50A81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025C0C"/>
    <w:multiLevelType w:val="multilevel"/>
    <w:tmpl w:val="AA7289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F97B42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A23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5EF1A95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F86E22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B1A51"/>
    <w:multiLevelType w:val="hybridMultilevel"/>
    <w:tmpl w:val="0409000F"/>
    <w:lvl w:ilvl="0" w:tplc="C3B22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66"/>
      </w:rPr>
    </w:lvl>
    <w:lvl w:ilvl="1" w:tplc="3F560F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FBCF4F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000066"/>
        <w:sz w:val="16"/>
      </w:rPr>
    </w:lvl>
    <w:lvl w:ilvl="3" w:tplc="BA16931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3380826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47E0B1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A426C612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4EEE55E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55BC940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41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1"/>
  </w:num>
  <w:num w:numId="8">
    <w:abstractNumId w:val="12"/>
  </w:num>
  <w:num w:numId="9">
    <w:abstractNumId w:val="16"/>
  </w:num>
  <w:num w:numId="10">
    <w:abstractNumId w:val="6"/>
  </w:num>
  <w:num w:numId="11">
    <w:abstractNumId w:val="40"/>
  </w:num>
  <w:num w:numId="12">
    <w:abstractNumId w:val="28"/>
  </w:num>
  <w:num w:numId="13">
    <w:abstractNumId w:val="30"/>
  </w:num>
  <w:num w:numId="14">
    <w:abstractNumId w:val="35"/>
  </w:num>
  <w:num w:numId="15">
    <w:abstractNumId w:val="2"/>
  </w:num>
  <w:num w:numId="16">
    <w:abstractNumId w:val="36"/>
  </w:num>
  <w:num w:numId="17">
    <w:abstractNumId w:val="25"/>
  </w:num>
  <w:num w:numId="18">
    <w:abstractNumId w:val="13"/>
  </w:num>
  <w:num w:numId="19">
    <w:abstractNumId w:val="1"/>
  </w:num>
  <w:num w:numId="20">
    <w:abstractNumId w:val="10"/>
  </w:num>
  <w:num w:numId="21">
    <w:abstractNumId w:val="27"/>
  </w:num>
  <w:num w:numId="22">
    <w:abstractNumId w:val="3"/>
  </w:num>
  <w:num w:numId="23">
    <w:abstractNumId w:val="37"/>
  </w:num>
  <w:num w:numId="24">
    <w:abstractNumId w:val="39"/>
  </w:num>
  <w:num w:numId="25">
    <w:abstractNumId w:val="21"/>
  </w:num>
  <w:num w:numId="26">
    <w:abstractNumId w:val="4"/>
  </w:num>
  <w:num w:numId="27">
    <w:abstractNumId w:val="24"/>
  </w:num>
  <w:num w:numId="28">
    <w:abstractNumId w:val="14"/>
  </w:num>
  <w:num w:numId="29">
    <w:abstractNumId w:val="38"/>
  </w:num>
  <w:num w:numId="30">
    <w:abstractNumId w:val="17"/>
  </w:num>
  <w:num w:numId="31">
    <w:abstractNumId w:val="0"/>
  </w:num>
  <w:num w:numId="32">
    <w:abstractNumId w:val="23"/>
  </w:num>
  <w:num w:numId="33">
    <w:abstractNumId w:val="32"/>
  </w:num>
  <w:num w:numId="34">
    <w:abstractNumId w:val="8"/>
  </w:num>
  <w:num w:numId="35">
    <w:abstractNumId w:val="29"/>
  </w:num>
  <w:num w:numId="36">
    <w:abstractNumId w:val="7"/>
  </w:num>
  <w:num w:numId="37">
    <w:abstractNumId w:val="33"/>
  </w:num>
  <w:num w:numId="38">
    <w:abstractNumId w:val="20"/>
  </w:num>
  <w:num w:numId="39">
    <w:abstractNumId w:val="34"/>
  </w:num>
  <w:num w:numId="40">
    <w:abstractNumId w:val="18"/>
  </w:num>
  <w:num w:numId="41">
    <w:abstractNumId w:val="15"/>
  </w:num>
  <w:num w:numId="42">
    <w:abstractNumId w:val="5"/>
  </w:num>
  <w:num w:numId="43">
    <w:abstractNumId w:val="1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2C"/>
    <w:rsid w:val="00001EB9"/>
    <w:rsid w:val="00047DF0"/>
    <w:rsid w:val="00060578"/>
    <w:rsid w:val="00061C8D"/>
    <w:rsid w:val="00095DD6"/>
    <w:rsid w:val="00096106"/>
    <w:rsid w:val="000D297F"/>
    <w:rsid w:val="0011773E"/>
    <w:rsid w:val="0015366A"/>
    <w:rsid w:val="00166B69"/>
    <w:rsid w:val="00197374"/>
    <w:rsid w:val="001B7BBD"/>
    <w:rsid w:val="001C27BD"/>
    <w:rsid w:val="001C45E7"/>
    <w:rsid w:val="00252134"/>
    <w:rsid w:val="00283E02"/>
    <w:rsid w:val="002938F1"/>
    <w:rsid w:val="002B1C94"/>
    <w:rsid w:val="003509DD"/>
    <w:rsid w:val="00393F0C"/>
    <w:rsid w:val="003C6E6D"/>
    <w:rsid w:val="00402721"/>
    <w:rsid w:val="00417AD3"/>
    <w:rsid w:val="0044421B"/>
    <w:rsid w:val="00446679"/>
    <w:rsid w:val="00482F6A"/>
    <w:rsid w:val="0049314D"/>
    <w:rsid w:val="004F6428"/>
    <w:rsid w:val="00506ECB"/>
    <w:rsid w:val="00535B2B"/>
    <w:rsid w:val="00571C99"/>
    <w:rsid w:val="006171FE"/>
    <w:rsid w:val="00617210"/>
    <w:rsid w:val="00642428"/>
    <w:rsid w:val="00645929"/>
    <w:rsid w:val="0065716E"/>
    <w:rsid w:val="006A3FD5"/>
    <w:rsid w:val="006E5892"/>
    <w:rsid w:val="0072723E"/>
    <w:rsid w:val="00757BA2"/>
    <w:rsid w:val="007737B8"/>
    <w:rsid w:val="00775D4D"/>
    <w:rsid w:val="0078007C"/>
    <w:rsid w:val="007F7384"/>
    <w:rsid w:val="0080730A"/>
    <w:rsid w:val="00836996"/>
    <w:rsid w:val="008944A0"/>
    <w:rsid w:val="008C0C36"/>
    <w:rsid w:val="008C202C"/>
    <w:rsid w:val="008C7085"/>
    <w:rsid w:val="008F7C9A"/>
    <w:rsid w:val="009073DD"/>
    <w:rsid w:val="0091601C"/>
    <w:rsid w:val="00922A4D"/>
    <w:rsid w:val="00950DF1"/>
    <w:rsid w:val="00953C12"/>
    <w:rsid w:val="009625DD"/>
    <w:rsid w:val="009A2E1E"/>
    <w:rsid w:val="009C2720"/>
    <w:rsid w:val="009D30A0"/>
    <w:rsid w:val="009E7376"/>
    <w:rsid w:val="009F248D"/>
    <w:rsid w:val="00A60488"/>
    <w:rsid w:val="00A62BF8"/>
    <w:rsid w:val="00A74D31"/>
    <w:rsid w:val="00A758EF"/>
    <w:rsid w:val="00A97181"/>
    <w:rsid w:val="00AC675A"/>
    <w:rsid w:val="00AD1D03"/>
    <w:rsid w:val="00AE1E7F"/>
    <w:rsid w:val="00AE3214"/>
    <w:rsid w:val="00AF5BE5"/>
    <w:rsid w:val="00B14CAA"/>
    <w:rsid w:val="00B569DA"/>
    <w:rsid w:val="00BB1FA5"/>
    <w:rsid w:val="00BB373D"/>
    <w:rsid w:val="00C144D4"/>
    <w:rsid w:val="00C17471"/>
    <w:rsid w:val="00C455BB"/>
    <w:rsid w:val="00C70877"/>
    <w:rsid w:val="00C82695"/>
    <w:rsid w:val="00CB61ED"/>
    <w:rsid w:val="00D1111C"/>
    <w:rsid w:val="00D1381F"/>
    <w:rsid w:val="00D24AC1"/>
    <w:rsid w:val="00D27EAF"/>
    <w:rsid w:val="00D34A9A"/>
    <w:rsid w:val="00D7681D"/>
    <w:rsid w:val="00D837B8"/>
    <w:rsid w:val="00D8791B"/>
    <w:rsid w:val="00D975A9"/>
    <w:rsid w:val="00DD3799"/>
    <w:rsid w:val="00E35B40"/>
    <w:rsid w:val="00E51ABF"/>
    <w:rsid w:val="00E642B4"/>
    <w:rsid w:val="00E642E5"/>
    <w:rsid w:val="00E85343"/>
    <w:rsid w:val="00EA7A74"/>
    <w:rsid w:val="00F01CE5"/>
    <w:rsid w:val="00F12D2B"/>
    <w:rsid w:val="00F25018"/>
    <w:rsid w:val="00F40AEB"/>
    <w:rsid w:val="00F4734B"/>
    <w:rsid w:val="00F77F32"/>
    <w:rsid w:val="00F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Verdan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43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343"/>
    <w:pPr>
      <w:keepNext/>
      <w:keepLines/>
      <w:spacing w:after="600"/>
      <w:outlineLvl w:val="0"/>
    </w:pPr>
    <w:rPr>
      <w:rFonts w:ascii="Times New Roman" w:eastAsia="Times New Roman" w:hAnsi="Times New Roman" w:cs="Times New Roman"/>
      <w:bCs/>
      <w:color w:val="003399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343"/>
    <w:pPr>
      <w:keepNext/>
      <w:keepLines/>
      <w:spacing w:after="60"/>
      <w:outlineLvl w:val="1"/>
    </w:pPr>
    <w:rPr>
      <w:rFonts w:eastAsia="Times New Roman" w:cs="Times New Roman"/>
      <w:b/>
      <w:bCs/>
      <w:color w:val="6666F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43"/>
    <w:pPr>
      <w:keepNext/>
      <w:keepLines/>
      <w:spacing w:after="60"/>
      <w:outlineLvl w:val="2"/>
    </w:pPr>
    <w:rPr>
      <w:rFonts w:eastAsia="Times New Roman" w:cs="Times New Roman"/>
      <w:b/>
      <w:bCs/>
      <w:color w:val="9966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343"/>
    <w:pPr>
      <w:keepNext/>
      <w:keepLines/>
      <w:spacing w:after="60"/>
      <w:outlineLvl w:val="3"/>
    </w:pPr>
    <w:rPr>
      <w:rFonts w:eastAsia="Times New Roman" w:cs="Times New Roman"/>
      <w:b/>
      <w:bCs/>
      <w:iCs/>
      <w:color w:val="0000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343"/>
    <w:pPr>
      <w:keepNext/>
      <w:keepLines/>
      <w:spacing w:after="60"/>
      <w:outlineLvl w:val="4"/>
    </w:pPr>
    <w:rPr>
      <w:rFonts w:eastAsia="Times New Roman" w:cs="Times New Roman"/>
      <w:color w:val="00006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E7376"/>
    <w:pPr>
      <w:keepNext/>
      <w:keepLines/>
      <w:spacing w:before="200" w:after="0"/>
      <w:outlineLvl w:val="5"/>
    </w:pPr>
    <w:rPr>
      <w:rFonts w:ascii="Verdana" w:eastAsia="Times New Roman" w:hAnsi="Verdana" w:cs="Times New Roman"/>
      <w:i/>
      <w:iCs/>
      <w:color w:val="00194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343"/>
  </w:style>
  <w:style w:type="character" w:customStyle="1" w:styleId="Heading1Char">
    <w:name w:val="Heading 1 Char"/>
    <w:basedOn w:val="DefaultParagraphFont"/>
    <w:link w:val="Heading1"/>
    <w:uiPriority w:val="9"/>
    <w:rsid w:val="00E85343"/>
    <w:rPr>
      <w:rFonts w:ascii="Times New Roman" w:eastAsia="Times New Roman" w:hAnsi="Times New Roman" w:cs="Times New Roman"/>
      <w:bCs/>
      <w:color w:val="003399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343"/>
    <w:rPr>
      <w:rFonts w:eastAsia="Times New Roman" w:cs="Times New Roman"/>
      <w:b/>
      <w:bCs/>
      <w:color w:val="6666FF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343"/>
    <w:rPr>
      <w:rFonts w:eastAsia="Times New Roman" w:cs="Times New Roman"/>
      <w:b/>
      <w:bCs/>
      <w:color w:val="996633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85343"/>
    <w:rPr>
      <w:rFonts w:eastAsia="Times New Roman" w:cs="Times New Roman"/>
      <w:b/>
      <w:bCs/>
      <w:iCs/>
      <w:color w:val="000066"/>
    </w:rPr>
  </w:style>
  <w:style w:type="character" w:customStyle="1" w:styleId="Heading5Char">
    <w:name w:val="Heading 5 Char"/>
    <w:basedOn w:val="DefaultParagraphFont"/>
    <w:link w:val="Heading5"/>
    <w:uiPriority w:val="9"/>
    <w:rsid w:val="00E85343"/>
    <w:rPr>
      <w:rFonts w:eastAsia="Times New Roman" w:cs="Times New Roman"/>
      <w:color w:val="0000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06"/>
    <w:rPr>
      <w:rFonts w:ascii="Verdana" w:eastAsia="Times New Roman" w:hAnsi="Verdana" w:cs="Times New Roman"/>
      <w:i/>
      <w:iCs/>
      <w:color w:val="00194C"/>
    </w:rPr>
  </w:style>
  <w:style w:type="character" w:styleId="Strong">
    <w:name w:val="Strong"/>
    <w:basedOn w:val="DefaultParagraphFont"/>
    <w:uiPriority w:val="22"/>
    <w:rsid w:val="00A758EF"/>
    <w:rPr>
      <w:b/>
      <w:bCs/>
    </w:rPr>
  </w:style>
  <w:style w:type="table" w:styleId="TableGrid">
    <w:name w:val="Table Grid"/>
    <w:aliases w:val="Standard Deloitte Blue/Blue Table/Tableau"/>
    <w:basedOn w:val="TableNormal"/>
    <w:uiPriority w:val="59"/>
    <w:rsid w:val="00A62BF8"/>
    <w:tblPr>
      <w:tblInd w:w="0" w:type="dxa"/>
      <w:tblBorders>
        <w:top w:val="single" w:sz="4" w:space="0" w:color="000066"/>
        <w:left w:val="single" w:sz="4" w:space="0" w:color="000066"/>
        <w:bottom w:val="single" w:sz="4" w:space="0" w:color="000066"/>
        <w:right w:val="single" w:sz="4" w:space="0" w:color="000066"/>
        <w:insideH w:val="single" w:sz="4" w:space="0" w:color="000066"/>
        <w:insideV w:val="single" w:sz="4" w:space="0" w:color="0000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CC"/>
      <w:vAlign w:val="center"/>
    </w:tcPr>
    <w:tblStylePr w:type="firstRow">
      <w:rPr>
        <w:b/>
      </w:rPr>
      <w:tblPr/>
      <w:tcPr>
        <w:shd w:val="clear" w:color="auto" w:fill="003399"/>
      </w:tcPr>
    </w:tblStylePr>
    <w:tblStylePr w:type="lastRow">
      <w:tblPr/>
      <w:tcPr>
        <w:tcBorders>
          <w:bottom w:val="single" w:sz="12" w:space="0" w:color="000066"/>
        </w:tcBorders>
        <w:shd w:val="clear" w:color="auto" w:fill="E5E5CC"/>
      </w:tcPr>
    </w:tblStylePr>
  </w:style>
  <w:style w:type="paragraph" w:styleId="ListParagraph">
    <w:name w:val="List Paragraph"/>
    <w:basedOn w:val="Normal"/>
    <w:uiPriority w:val="34"/>
    <w:unhideWhenUsed/>
    <w:rsid w:val="00C455BB"/>
    <w:pPr>
      <w:ind w:left="720"/>
      <w:contextualSpacing/>
    </w:pPr>
  </w:style>
  <w:style w:type="table" w:customStyle="1" w:styleId="StandardDeloitteWhiteBlanc">
    <w:name w:val="Standard Deloitte White/Blanc"/>
    <w:basedOn w:val="TableGrid"/>
    <w:uiPriority w:val="99"/>
    <w:qFormat/>
    <w:rsid w:val="00A62BF8"/>
    <w:tblPr>
      <w:tblInd w:w="0" w:type="dxa"/>
      <w:tblBorders>
        <w:insideH w:val="single" w:sz="4" w:space="0" w:color="E5E5C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CC"/>
      <w:vAlign w:val="center"/>
    </w:tcPr>
    <w:tblStylePr w:type="firstRow">
      <w:pPr>
        <w:jc w:val="left"/>
      </w:pPr>
      <w:rPr>
        <w:b/>
      </w:rPr>
      <w:tblPr/>
      <w:tcPr>
        <w:shd w:val="clear" w:color="auto" w:fill="003399"/>
      </w:tcPr>
    </w:tblStylePr>
    <w:tblStylePr w:type="lastRow">
      <w:tblPr/>
      <w:tcPr>
        <w:tcBorders>
          <w:top w:val="single" w:sz="4" w:space="0" w:color="000066"/>
          <w:left w:val="nil"/>
          <w:bottom w:val="single" w:sz="12" w:space="0" w:color="000066"/>
          <w:right w:val="nil"/>
          <w:insideH w:val="nil"/>
          <w:insideV w:val="nil"/>
        </w:tcBorders>
        <w:shd w:val="clear" w:color="auto" w:fill="E5E5CC"/>
      </w:tcPr>
    </w:tblStylePr>
  </w:style>
  <w:style w:type="numbering" w:customStyle="1" w:styleId="DeloitteMulti-LevelBulletedList">
    <w:name w:val="Deloitte Multi-Level Bulleted  List"/>
    <w:uiPriority w:val="99"/>
    <w:rsid w:val="00096106"/>
    <w:pPr>
      <w:numPr>
        <w:numId w:val="8"/>
      </w:numPr>
    </w:pPr>
  </w:style>
  <w:style w:type="numbering" w:customStyle="1" w:styleId="DeloitteAlphaStyle">
    <w:name w:val="Deloitte Alpha Style"/>
    <w:uiPriority w:val="99"/>
    <w:rsid w:val="00C144D4"/>
  </w:style>
  <w:style w:type="numbering" w:customStyle="1" w:styleId="DeloitteMultiLevelList">
    <w:name w:val="Deloitte Multi Level List"/>
    <w:uiPriority w:val="99"/>
    <w:rsid w:val="00D34A9A"/>
    <w:pPr>
      <w:numPr>
        <w:numId w:val="15"/>
      </w:numPr>
    </w:pPr>
  </w:style>
  <w:style w:type="numbering" w:customStyle="1" w:styleId="Style1">
    <w:name w:val="Style1"/>
    <w:uiPriority w:val="99"/>
    <w:rsid w:val="009D30A0"/>
    <w:pPr>
      <w:numPr>
        <w:numId w:val="3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85343"/>
    <w:pPr>
      <w:spacing w:after="240" w:line="360" w:lineRule="exact"/>
    </w:pPr>
    <w:rPr>
      <w:rFonts w:ascii="Times New Roman" w:hAnsi="Times New Roman"/>
      <w:iCs/>
      <w:color w:val="003399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E85343"/>
    <w:rPr>
      <w:rFonts w:ascii="Times New Roman" w:hAnsi="Times New Roman"/>
      <w:iCs/>
      <w:color w:val="003399"/>
      <w:sz w:val="28"/>
    </w:rPr>
  </w:style>
  <w:style w:type="table" w:styleId="LightGrid-Accent2">
    <w:name w:val="Light Grid Accent 2"/>
    <w:basedOn w:val="TableNormal"/>
    <w:uiPriority w:val="62"/>
    <w:rsid w:val="00571C99"/>
    <w:tblPr>
      <w:tblStyleRowBandSize w:val="1"/>
      <w:tblStyleColBandSize w:val="1"/>
      <w:tblInd w:w="0" w:type="dxa"/>
      <w:tblBorders>
        <w:top w:val="single" w:sz="8" w:space="0" w:color="6666FF" w:themeColor="accent2"/>
        <w:left w:val="single" w:sz="8" w:space="0" w:color="6666FF" w:themeColor="accent2"/>
        <w:bottom w:val="single" w:sz="8" w:space="0" w:color="6666FF" w:themeColor="accent2"/>
        <w:right w:val="single" w:sz="8" w:space="0" w:color="6666FF" w:themeColor="accent2"/>
        <w:insideH w:val="single" w:sz="8" w:space="0" w:color="6666FF" w:themeColor="accent2"/>
        <w:insideV w:val="single" w:sz="8" w:space="0" w:color="6666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18" w:space="0" w:color="6666FF" w:themeColor="accent2"/>
          <w:right w:val="single" w:sz="8" w:space="0" w:color="6666FF" w:themeColor="accent2"/>
          <w:insideH w:val="nil"/>
          <w:insideV w:val="single" w:sz="8" w:space="0" w:color="6666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H w:val="nil"/>
          <w:insideV w:val="single" w:sz="8" w:space="0" w:color="6666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</w:tcBorders>
      </w:tcPr>
    </w:tblStylePr>
    <w:tblStylePr w:type="band1Vert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</w:tcBorders>
        <w:shd w:val="clear" w:color="auto" w:fill="D9D9FF" w:themeFill="accent2" w:themeFillTint="3F"/>
      </w:tcPr>
    </w:tblStylePr>
    <w:tblStylePr w:type="band1Horz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V w:val="single" w:sz="8" w:space="0" w:color="6666FF" w:themeColor="accent2"/>
        </w:tcBorders>
        <w:shd w:val="clear" w:color="auto" w:fill="D9D9FF" w:themeFill="accent2" w:themeFillTint="3F"/>
      </w:tcPr>
    </w:tblStylePr>
    <w:tblStylePr w:type="band2Horz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V w:val="single" w:sz="8" w:space="0" w:color="6666FF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Verdan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43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343"/>
    <w:pPr>
      <w:keepNext/>
      <w:keepLines/>
      <w:spacing w:after="600"/>
      <w:outlineLvl w:val="0"/>
    </w:pPr>
    <w:rPr>
      <w:rFonts w:ascii="Times New Roman" w:eastAsia="Times New Roman" w:hAnsi="Times New Roman" w:cs="Times New Roman"/>
      <w:bCs/>
      <w:color w:val="003399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343"/>
    <w:pPr>
      <w:keepNext/>
      <w:keepLines/>
      <w:spacing w:after="60"/>
      <w:outlineLvl w:val="1"/>
    </w:pPr>
    <w:rPr>
      <w:rFonts w:eastAsia="Times New Roman" w:cs="Times New Roman"/>
      <w:b/>
      <w:bCs/>
      <w:color w:val="6666F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43"/>
    <w:pPr>
      <w:keepNext/>
      <w:keepLines/>
      <w:spacing w:after="60"/>
      <w:outlineLvl w:val="2"/>
    </w:pPr>
    <w:rPr>
      <w:rFonts w:eastAsia="Times New Roman" w:cs="Times New Roman"/>
      <w:b/>
      <w:bCs/>
      <w:color w:val="9966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343"/>
    <w:pPr>
      <w:keepNext/>
      <w:keepLines/>
      <w:spacing w:after="60"/>
      <w:outlineLvl w:val="3"/>
    </w:pPr>
    <w:rPr>
      <w:rFonts w:eastAsia="Times New Roman" w:cs="Times New Roman"/>
      <w:b/>
      <w:bCs/>
      <w:iCs/>
      <w:color w:val="0000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343"/>
    <w:pPr>
      <w:keepNext/>
      <w:keepLines/>
      <w:spacing w:after="60"/>
      <w:outlineLvl w:val="4"/>
    </w:pPr>
    <w:rPr>
      <w:rFonts w:eastAsia="Times New Roman" w:cs="Times New Roman"/>
      <w:color w:val="00006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E7376"/>
    <w:pPr>
      <w:keepNext/>
      <w:keepLines/>
      <w:spacing w:before="200" w:after="0"/>
      <w:outlineLvl w:val="5"/>
    </w:pPr>
    <w:rPr>
      <w:rFonts w:ascii="Verdana" w:eastAsia="Times New Roman" w:hAnsi="Verdana" w:cs="Times New Roman"/>
      <w:i/>
      <w:iCs/>
      <w:color w:val="00194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343"/>
  </w:style>
  <w:style w:type="character" w:customStyle="1" w:styleId="Heading1Char">
    <w:name w:val="Heading 1 Char"/>
    <w:basedOn w:val="DefaultParagraphFont"/>
    <w:link w:val="Heading1"/>
    <w:uiPriority w:val="9"/>
    <w:rsid w:val="00E85343"/>
    <w:rPr>
      <w:rFonts w:ascii="Times New Roman" w:eastAsia="Times New Roman" w:hAnsi="Times New Roman" w:cs="Times New Roman"/>
      <w:bCs/>
      <w:color w:val="003399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343"/>
    <w:rPr>
      <w:rFonts w:eastAsia="Times New Roman" w:cs="Times New Roman"/>
      <w:b/>
      <w:bCs/>
      <w:color w:val="6666FF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343"/>
    <w:rPr>
      <w:rFonts w:eastAsia="Times New Roman" w:cs="Times New Roman"/>
      <w:b/>
      <w:bCs/>
      <w:color w:val="996633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85343"/>
    <w:rPr>
      <w:rFonts w:eastAsia="Times New Roman" w:cs="Times New Roman"/>
      <w:b/>
      <w:bCs/>
      <w:iCs/>
      <w:color w:val="000066"/>
    </w:rPr>
  </w:style>
  <w:style w:type="character" w:customStyle="1" w:styleId="Heading5Char">
    <w:name w:val="Heading 5 Char"/>
    <w:basedOn w:val="DefaultParagraphFont"/>
    <w:link w:val="Heading5"/>
    <w:uiPriority w:val="9"/>
    <w:rsid w:val="00E85343"/>
    <w:rPr>
      <w:rFonts w:eastAsia="Times New Roman" w:cs="Times New Roman"/>
      <w:color w:val="0000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06"/>
    <w:rPr>
      <w:rFonts w:ascii="Verdana" w:eastAsia="Times New Roman" w:hAnsi="Verdana" w:cs="Times New Roman"/>
      <w:i/>
      <w:iCs/>
      <w:color w:val="00194C"/>
    </w:rPr>
  </w:style>
  <w:style w:type="character" w:styleId="Strong">
    <w:name w:val="Strong"/>
    <w:basedOn w:val="DefaultParagraphFont"/>
    <w:uiPriority w:val="22"/>
    <w:rsid w:val="00A758EF"/>
    <w:rPr>
      <w:b/>
      <w:bCs/>
    </w:rPr>
  </w:style>
  <w:style w:type="table" w:styleId="TableGrid">
    <w:name w:val="Table Grid"/>
    <w:aliases w:val="Standard Deloitte Blue/Blue Table/Tableau"/>
    <w:basedOn w:val="TableNormal"/>
    <w:uiPriority w:val="59"/>
    <w:rsid w:val="00A62BF8"/>
    <w:tblPr>
      <w:tblInd w:w="0" w:type="dxa"/>
      <w:tblBorders>
        <w:top w:val="single" w:sz="4" w:space="0" w:color="000066"/>
        <w:left w:val="single" w:sz="4" w:space="0" w:color="000066"/>
        <w:bottom w:val="single" w:sz="4" w:space="0" w:color="000066"/>
        <w:right w:val="single" w:sz="4" w:space="0" w:color="000066"/>
        <w:insideH w:val="single" w:sz="4" w:space="0" w:color="000066"/>
        <w:insideV w:val="single" w:sz="4" w:space="0" w:color="0000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CC"/>
      <w:vAlign w:val="center"/>
    </w:tcPr>
    <w:tblStylePr w:type="firstRow">
      <w:rPr>
        <w:b/>
      </w:rPr>
      <w:tblPr/>
      <w:tcPr>
        <w:shd w:val="clear" w:color="auto" w:fill="003399"/>
      </w:tcPr>
    </w:tblStylePr>
    <w:tblStylePr w:type="lastRow">
      <w:tblPr/>
      <w:tcPr>
        <w:tcBorders>
          <w:bottom w:val="single" w:sz="12" w:space="0" w:color="000066"/>
        </w:tcBorders>
        <w:shd w:val="clear" w:color="auto" w:fill="E5E5CC"/>
      </w:tcPr>
    </w:tblStylePr>
  </w:style>
  <w:style w:type="paragraph" w:styleId="ListParagraph">
    <w:name w:val="List Paragraph"/>
    <w:basedOn w:val="Normal"/>
    <w:uiPriority w:val="34"/>
    <w:unhideWhenUsed/>
    <w:rsid w:val="00C455BB"/>
    <w:pPr>
      <w:ind w:left="720"/>
      <w:contextualSpacing/>
    </w:pPr>
  </w:style>
  <w:style w:type="table" w:customStyle="1" w:styleId="StandardDeloitteWhiteBlanc">
    <w:name w:val="Standard Deloitte White/Blanc"/>
    <w:basedOn w:val="TableGrid"/>
    <w:uiPriority w:val="99"/>
    <w:qFormat/>
    <w:rsid w:val="00A62BF8"/>
    <w:tblPr>
      <w:tblInd w:w="0" w:type="dxa"/>
      <w:tblBorders>
        <w:insideH w:val="single" w:sz="4" w:space="0" w:color="E5E5C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CC"/>
      <w:vAlign w:val="center"/>
    </w:tcPr>
    <w:tblStylePr w:type="firstRow">
      <w:pPr>
        <w:jc w:val="left"/>
      </w:pPr>
      <w:rPr>
        <w:b/>
      </w:rPr>
      <w:tblPr/>
      <w:tcPr>
        <w:shd w:val="clear" w:color="auto" w:fill="003399"/>
      </w:tcPr>
    </w:tblStylePr>
    <w:tblStylePr w:type="lastRow">
      <w:tblPr/>
      <w:tcPr>
        <w:tcBorders>
          <w:top w:val="single" w:sz="4" w:space="0" w:color="000066"/>
          <w:left w:val="nil"/>
          <w:bottom w:val="single" w:sz="12" w:space="0" w:color="000066"/>
          <w:right w:val="nil"/>
          <w:insideH w:val="nil"/>
          <w:insideV w:val="nil"/>
        </w:tcBorders>
        <w:shd w:val="clear" w:color="auto" w:fill="E5E5CC"/>
      </w:tcPr>
    </w:tblStylePr>
  </w:style>
  <w:style w:type="numbering" w:customStyle="1" w:styleId="DeloitteMulti-LevelBulletedList">
    <w:name w:val="Deloitte Multi-Level Bulleted  List"/>
    <w:uiPriority w:val="99"/>
    <w:rsid w:val="00096106"/>
    <w:pPr>
      <w:numPr>
        <w:numId w:val="8"/>
      </w:numPr>
    </w:pPr>
  </w:style>
  <w:style w:type="numbering" w:customStyle="1" w:styleId="DeloitteAlphaStyle">
    <w:name w:val="Deloitte Alpha Style"/>
    <w:uiPriority w:val="99"/>
    <w:rsid w:val="00C144D4"/>
  </w:style>
  <w:style w:type="numbering" w:customStyle="1" w:styleId="DeloitteMultiLevelList">
    <w:name w:val="Deloitte Multi Level List"/>
    <w:uiPriority w:val="99"/>
    <w:rsid w:val="00D34A9A"/>
    <w:pPr>
      <w:numPr>
        <w:numId w:val="15"/>
      </w:numPr>
    </w:pPr>
  </w:style>
  <w:style w:type="numbering" w:customStyle="1" w:styleId="Style1">
    <w:name w:val="Style1"/>
    <w:uiPriority w:val="99"/>
    <w:rsid w:val="009D30A0"/>
    <w:pPr>
      <w:numPr>
        <w:numId w:val="3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85343"/>
    <w:pPr>
      <w:spacing w:after="240" w:line="360" w:lineRule="exact"/>
    </w:pPr>
    <w:rPr>
      <w:rFonts w:ascii="Times New Roman" w:hAnsi="Times New Roman"/>
      <w:iCs/>
      <w:color w:val="003399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E85343"/>
    <w:rPr>
      <w:rFonts w:ascii="Times New Roman" w:hAnsi="Times New Roman"/>
      <w:iCs/>
      <w:color w:val="003399"/>
      <w:sz w:val="28"/>
    </w:rPr>
  </w:style>
  <w:style w:type="table" w:styleId="LightGrid-Accent2">
    <w:name w:val="Light Grid Accent 2"/>
    <w:basedOn w:val="TableNormal"/>
    <w:uiPriority w:val="62"/>
    <w:rsid w:val="00571C99"/>
    <w:tblPr>
      <w:tblStyleRowBandSize w:val="1"/>
      <w:tblStyleColBandSize w:val="1"/>
      <w:tblInd w:w="0" w:type="dxa"/>
      <w:tblBorders>
        <w:top w:val="single" w:sz="8" w:space="0" w:color="6666FF" w:themeColor="accent2"/>
        <w:left w:val="single" w:sz="8" w:space="0" w:color="6666FF" w:themeColor="accent2"/>
        <w:bottom w:val="single" w:sz="8" w:space="0" w:color="6666FF" w:themeColor="accent2"/>
        <w:right w:val="single" w:sz="8" w:space="0" w:color="6666FF" w:themeColor="accent2"/>
        <w:insideH w:val="single" w:sz="8" w:space="0" w:color="6666FF" w:themeColor="accent2"/>
        <w:insideV w:val="single" w:sz="8" w:space="0" w:color="6666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18" w:space="0" w:color="6666FF" w:themeColor="accent2"/>
          <w:right w:val="single" w:sz="8" w:space="0" w:color="6666FF" w:themeColor="accent2"/>
          <w:insideH w:val="nil"/>
          <w:insideV w:val="single" w:sz="8" w:space="0" w:color="6666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H w:val="nil"/>
          <w:insideV w:val="single" w:sz="8" w:space="0" w:color="6666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</w:tcBorders>
      </w:tcPr>
    </w:tblStylePr>
    <w:tblStylePr w:type="band1Vert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</w:tcBorders>
        <w:shd w:val="clear" w:color="auto" w:fill="D9D9FF" w:themeFill="accent2" w:themeFillTint="3F"/>
      </w:tcPr>
    </w:tblStylePr>
    <w:tblStylePr w:type="band1Horz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V w:val="single" w:sz="8" w:space="0" w:color="6666FF" w:themeColor="accent2"/>
        </w:tcBorders>
        <w:shd w:val="clear" w:color="auto" w:fill="D9D9FF" w:themeFill="accent2" w:themeFillTint="3F"/>
      </w:tcPr>
    </w:tblStylePr>
    <w:tblStylePr w:type="band2Horz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V w:val="single" w:sz="8" w:space="0" w:color="6666FF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loitte">
      <a:dk1>
        <a:srgbClr val="000066"/>
      </a:dk1>
      <a:lt1>
        <a:srgbClr val="E5E5CC"/>
      </a:lt1>
      <a:dk2>
        <a:srgbClr val="003399"/>
      </a:dk2>
      <a:lt2>
        <a:srgbClr val="E5E5CC"/>
      </a:lt2>
      <a:accent1>
        <a:srgbClr val="003399"/>
      </a:accent1>
      <a:accent2>
        <a:srgbClr val="6666FF"/>
      </a:accent2>
      <a:accent3>
        <a:srgbClr val="800080"/>
      </a:accent3>
      <a:accent4>
        <a:srgbClr val="996633"/>
      </a:accent4>
      <a:accent5>
        <a:srgbClr val="336600"/>
      </a:accent5>
      <a:accent6>
        <a:srgbClr val="FF9900"/>
      </a:accent6>
      <a:hlink>
        <a:srgbClr val="336699"/>
      </a:hlink>
      <a:folHlink>
        <a:srgbClr val="800080"/>
      </a:folHlink>
    </a:clrScheme>
    <a:fontScheme name="Standard_whit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0" rIns="0" bIns="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0" rIns="0" bIns="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>
    <a:extraClrScheme>
      <a:clrScheme name="Standard_white 1">
        <a:dk1>
          <a:srgbClr val="000066"/>
        </a:dk1>
        <a:lt1>
          <a:srgbClr val="E5E5CC"/>
        </a:lt1>
        <a:dk2>
          <a:srgbClr val="000066"/>
        </a:dk2>
        <a:lt2>
          <a:srgbClr val="E5E5CC"/>
        </a:lt2>
        <a:accent1>
          <a:srgbClr val="009999"/>
        </a:accent1>
        <a:accent2>
          <a:srgbClr val="FFCC00"/>
        </a:accent2>
        <a:accent3>
          <a:srgbClr val="F0F0E2"/>
        </a:accent3>
        <a:accent4>
          <a:srgbClr val="000056"/>
        </a:accent4>
        <a:accent5>
          <a:srgbClr val="AACACA"/>
        </a:accent5>
        <a:accent6>
          <a:srgbClr val="E7B900"/>
        </a:accent6>
        <a:hlink>
          <a:srgbClr val="003399"/>
        </a:hlink>
        <a:folHlink>
          <a:srgbClr val="336699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Deloitte.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Hutchinson</dc:creator>
  <cp:lastModifiedBy>Russ Houldin</cp:lastModifiedBy>
  <cp:revision>2</cp:revision>
  <dcterms:created xsi:type="dcterms:W3CDTF">2012-11-21T14:32:00Z</dcterms:created>
  <dcterms:modified xsi:type="dcterms:W3CDTF">2012-11-21T14:32:00Z</dcterms:modified>
</cp:coreProperties>
</file>