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B0D" w:rsidRPr="00A82CA1" w:rsidRDefault="00D0156F" w:rsidP="000472E2">
      <w:pPr>
        <w:rPr>
          <w:rFonts w:ascii="Arial" w:hAnsi="Arial" w:cs="Arial"/>
          <w:b/>
          <w:sz w:val="32"/>
          <w:szCs w:val="32"/>
        </w:rPr>
      </w:pPr>
      <w:bookmarkStart w:id="0" w:name="_GoBack"/>
      <w:bookmarkEnd w:id="0"/>
      <w:r>
        <w:rPr>
          <w:noProof/>
          <w:lang w:val="en-CA" w:eastAsia="en-CA"/>
        </w:rPr>
        <w:drawing>
          <wp:anchor distT="0" distB="0" distL="114300" distR="114300" simplePos="0" relativeHeight="251658240" behindDoc="0" locked="0" layoutInCell="1" allowOverlap="1">
            <wp:simplePos x="0" y="0"/>
            <wp:positionH relativeFrom="column">
              <wp:posOffset>5029200</wp:posOffset>
            </wp:positionH>
            <wp:positionV relativeFrom="paragraph">
              <wp:posOffset>-228600</wp:posOffset>
            </wp:positionV>
            <wp:extent cx="946785" cy="9144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785" cy="914400"/>
                    </a:xfrm>
                    <a:prstGeom prst="rect">
                      <a:avLst/>
                    </a:prstGeom>
                    <a:noFill/>
                  </pic:spPr>
                </pic:pic>
              </a:graphicData>
            </a:graphic>
            <wp14:sizeRelH relativeFrom="page">
              <wp14:pctWidth>0</wp14:pctWidth>
            </wp14:sizeRelH>
            <wp14:sizeRelV relativeFrom="page">
              <wp14:pctHeight>0</wp14:pctHeight>
            </wp14:sizeRelV>
          </wp:anchor>
        </w:drawing>
      </w:r>
      <w:r w:rsidR="00174B0D" w:rsidRPr="00A82CA1">
        <w:rPr>
          <w:rFonts w:ascii="Arial" w:hAnsi="Arial" w:cs="Arial"/>
          <w:b/>
          <w:sz w:val="32"/>
          <w:szCs w:val="32"/>
        </w:rPr>
        <w:t>Meeting Summary</w:t>
      </w:r>
    </w:p>
    <w:p w:rsidR="00174B0D" w:rsidRPr="00A82CA1" w:rsidRDefault="00174B0D" w:rsidP="000472E2">
      <w:pPr>
        <w:rPr>
          <w:rFonts w:ascii="Arial" w:hAnsi="Arial" w:cs="Arial"/>
          <w:b/>
          <w:sz w:val="32"/>
          <w:szCs w:val="32"/>
        </w:rPr>
      </w:pPr>
    </w:p>
    <w:p w:rsidR="00174B0D" w:rsidRPr="00A82CA1" w:rsidRDefault="00174B0D" w:rsidP="000472E2">
      <w:pPr>
        <w:rPr>
          <w:rFonts w:ascii="Arial" w:hAnsi="Arial" w:cs="Arial"/>
          <w:b/>
          <w:sz w:val="32"/>
          <w:szCs w:val="32"/>
        </w:rPr>
      </w:pPr>
    </w:p>
    <w:tbl>
      <w:tblPr>
        <w:tblW w:w="0" w:type="auto"/>
        <w:tblBorders>
          <w:top w:val="single" w:sz="18" w:space="0" w:color="auto"/>
          <w:bottom w:val="single" w:sz="18" w:space="0" w:color="auto"/>
          <w:insideH w:val="single" w:sz="4" w:space="0" w:color="auto"/>
          <w:insideV w:val="single" w:sz="4" w:space="0" w:color="auto"/>
        </w:tblBorders>
        <w:tblLook w:val="01E0" w:firstRow="1" w:lastRow="1" w:firstColumn="1" w:lastColumn="1" w:noHBand="0" w:noVBand="0"/>
      </w:tblPr>
      <w:tblGrid>
        <w:gridCol w:w="9576"/>
      </w:tblGrid>
      <w:tr w:rsidR="00174B0D" w:rsidRPr="00A82CA1" w:rsidTr="00382998">
        <w:trPr>
          <w:trHeight w:val="872"/>
        </w:trPr>
        <w:tc>
          <w:tcPr>
            <w:tcW w:w="9576" w:type="dxa"/>
            <w:tcBorders>
              <w:top w:val="single" w:sz="18" w:space="0" w:color="auto"/>
              <w:bottom w:val="single" w:sz="18" w:space="0" w:color="auto"/>
            </w:tcBorders>
            <w:vAlign w:val="center"/>
          </w:tcPr>
          <w:p w:rsidR="00174B0D" w:rsidRPr="00A82CA1" w:rsidRDefault="00174B0D" w:rsidP="00382998">
            <w:pPr>
              <w:jc w:val="center"/>
              <w:rPr>
                <w:rFonts w:ascii="Arial" w:hAnsi="Arial" w:cs="Arial"/>
                <w:b/>
                <w:sz w:val="32"/>
                <w:szCs w:val="32"/>
              </w:rPr>
            </w:pPr>
            <w:r w:rsidRPr="00A82CA1">
              <w:rPr>
                <w:rFonts w:ascii="Arial" w:hAnsi="Arial" w:cs="Arial"/>
                <w:b/>
                <w:sz w:val="32"/>
                <w:szCs w:val="32"/>
              </w:rPr>
              <w:t>OEB Smart Grid Working Group</w:t>
            </w:r>
          </w:p>
        </w:tc>
      </w:tr>
    </w:tbl>
    <w:p w:rsidR="00174B0D" w:rsidRPr="00A82CA1" w:rsidRDefault="00174B0D" w:rsidP="000472E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140"/>
        <w:gridCol w:w="1080"/>
        <w:gridCol w:w="2448"/>
      </w:tblGrid>
      <w:tr w:rsidR="00174B0D" w:rsidRPr="00AC6FDB" w:rsidTr="00382998">
        <w:tc>
          <w:tcPr>
            <w:tcW w:w="1908" w:type="dxa"/>
            <w:tcBorders>
              <w:top w:val="nil"/>
              <w:left w:val="nil"/>
              <w:bottom w:val="nil"/>
              <w:right w:val="nil"/>
            </w:tcBorders>
          </w:tcPr>
          <w:p w:rsidR="00174B0D" w:rsidRPr="00AC6FDB" w:rsidRDefault="00174B0D" w:rsidP="000472E2">
            <w:pPr>
              <w:rPr>
                <w:rFonts w:ascii="Arial" w:hAnsi="Arial" w:cs="Arial"/>
                <w:b/>
                <w:szCs w:val="20"/>
              </w:rPr>
            </w:pPr>
            <w:r w:rsidRPr="00AC6FDB">
              <w:rPr>
                <w:rFonts w:ascii="Arial" w:hAnsi="Arial" w:cs="Arial"/>
                <w:b/>
                <w:sz w:val="22"/>
                <w:szCs w:val="20"/>
              </w:rPr>
              <w:t>Meeting Date:</w:t>
            </w:r>
          </w:p>
        </w:tc>
        <w:tc>
          <w:tcPr>
            <w:tcW w:w="4140" w:type="dxa"/>
            <w:tcBorders>
              <w:top w:val="nil"/>
              <w:left w:val="nil"/>
              <w:bottom w:val="nil"/>
              <w:right w:val="nil"/>
            </w:tcBorders>
          </w:tcPr>
          <w:p w:rsidR="00174B0D" w:rsidRPr="00AC6FDB" w:rsidRDefault="00272BED" w:rsidP="00C41F38">
            <w:pPr>
              <w:rPr>
                <w:rFonts w:ascii="Arial" w:hAnsi="Arial" w:cs="Arial"/>
                <w:szCs w:val="20"/>
              </w:rPr>
            </w:pPr>
            <w:r>
              <w:rPr>
                <w:rFonts w:ascii="Arial" w:hAnsi="Arial" w:cs="Arial"/>
                <w:sz w:val="22"/>
                <w:szCs w:val="20"/>
              </w:rPr>
              <w:t>November 8</w:t>
            </w:r>
            <w:r w:rsidR="00174B0D" w:rsidRPr="00AC6FDB">
              <w:rPr>
                <w:rFonts w:ascii="Arial" w:hAnsi="Arial" w:cs="Arial"/>
                <w:sz w:val="22"/>
                <w:szCs w:val="20"/>
              </w:rPr>
              <w:t>, 201</w:t>
            </w:r>
            <w:r>
              <w:rPr>
                <w:rFonts w:ascii="Arial" w:hAnsi="Arial" w:cs="Arial"/>
                <w:sz w:val="22"/>
                <w:szCs w:val="20"/>
              </w:rPr>
              <w:t>2</w:t>
            </w:r>
          </w:p>
        </w:tc>
        <w:tc>
          <w:tcPr>
            <w:tcW w:w="1080" w:type="dxa"/>
            <w:tcBorders>
              <w:top w:val="nil"/>
              <w:left w:val="nil"/>
              <w:bottom w:val="nil"/>
              <w:right w:val="nil"/>
            </w:tcBorders>
          </w:tcPr>
          <w:p w:rsidR="00174B0D" w:rsidRPr="00AC6FDB" w:rsidRDefault="00174B0D" w:rsidP="000472E2">
            <w:pPr>
              <w:rPr>
                <w:rFonts w:ascii="Arial" w:hAnsi="Arial" w:cs="Arial"/>
                <w:b/>
                <w:szCs w:val="20"/>
              </w:rPr>
            </w:pPr>
            <w:r w:rsidRPr="00AC6FDB">
              <w:rPr>
                <w:rFonts w:ascii="Arial" w:hAnsi="Arial" w:cs="Arial"/>
                <w:b/>
                <w:sz w:val="22"/>
                <w:szCs w:val="20"/>
              </w:rPr>
              <w:t>Time:</w:t>
            </w:r>
          </w:p>
        </w:tc>
        <w:tc>
          <w:tcPr>
            <w:tcW w:w="2448" w:type="dxa"/>
            <w:tcBorders>
              <w:top w:val="nil"/>
              <w:left w:val="nil"/>
              <w:bottom w:val="nil"/>
              <w:right w:val="nil"/>
            </w:tcBorders>
          </w:tcPr>
          <w:p w:rsidR="00174B0D" w:rsidRPr="00AC6FDB" w:rsidRDefault="00174B0D" w:rsidP="00C41F38">
            <w:pPr>
              <w:rPr>
                <w:rFonts w:ascii="Arial" w:hAnsi="Arial" w:cs="Arial"/>
                <w:szCs w:val="20"/>
              </w:rPr>
            </w:pPr>
            <w:r w:rsidRPr="00AC6FDB">
              <w:rPr>
                <w:rFonts w:ascii="Arial" w:hAnsi="Arial" w:cs="Arial"/>
                <w:sz w:val="22"/>
                <w:szCs w:val="20"/>
              </w:rPr>
              <w:t>9:30 am – 4:</w:t>
            </w:r>
            <w:r>
              <w:rPr>
                <w:rFonts w:ascii="Arial" w:hAnsi="Arial" w:cs="Arial"/>
                <w:sz w:val="22"/>
                <w:szCs w:val="20"/>
              </w:rPr>
              <w:t>45</w:t>
            </w:r>
            <w:r w:rsidRPr="00AC6FDB">
              <w:rPr>
                <w:rFonts w:ascii="Arial" w:hAnsi="Arial" w:cs="Arial"/>
                <w:sz w:val="22"/>
                <w:szCs w:val="20"/>
              </w:rPr>
              <w:t xml:space="preserve"> pm</w:t>
            </w:r>
          </w:p>
        </w:tc>
      </w:tr>
      <w:tr w:rsidR="00174B0D" w:rsidRPr="00AC6FDB" w:rsidTr="00382998">
        <w:tc>
          <w:tcPr>
            <w:tcW w:w="1908" w:type="dxa"/>
            <w:tcBorders>
              <w:top w:val="nil"/>
              <w:left w:val="nil"/>
              <w:bottom w:val="nil"/>
              <w:right w:val="nil"/>
            </w:tcBorders>
          </w:tcPr>
          <w:p w:rsidR="00174B0D" w:rsidRPr="00AC6FDB" w:rsidRDefault="00174B0D" w:rsidP="000472E2">
            <w:pPr>
              <w:rPr>
                <w:rFonts w:ascii="Arial" w:hAnsi="Arial" w:cs="Arial"/>
                <w:b/>
                <w:szCs w:val="20"/>
              </w:rPr>
            </w:pPr>
          </w:p>
        </w:tc>
        <w:tc>
          <w:tcPr>
            <w:tcW w:w="4140" w:type="dxa"/>
            <w:tcBorders>
              <w:top w:val="nil"/>
              <w:left w:val="nil"/>
              <w:bottom w:val="nil"/>
              <w:right w:val="nil"/>
            </w:tcBorders>
          </w:tcPr>
          <w:p w:rsidR="00174B0D" w:rsidRPr="00AC6FDB" w:rsidRDefault="00174B0D" w:rsidP="000472E2">
            <w:pPr>
              <w:rPr>
                <w:rFonts w:ascii="Arial" w:hAnsi="Arial" w:cs="Arial"/>
                <w:szCs w:val="20"/>
              </w:rPr>
            </w:pPr>
          </w:p>
        </w:tc>
        <w:tc>
          <w:tcPr>
            <w:tcW w:w="1080" w:type="dxa"/>
            <w:tcBorders>
              <w:top w:val="nil"/>
              <w:left w:val="nil"/>
              <w:bottom w:val="nil"/>
              <w:right w:val="nil"/>
            </w:tcBorders>
          </w:tcPr>
          <w:p w:rsidR="00174B0D" w:rsidRPr="00AC6FDB" w:rsidRDefault="00174B0D" w:rsidP="000472E2">
            <w:pPr>
              <w:rPr>
                <w:rFonts w:ascii="Arial" w:hAnsi="Arial" w:cs="Arial"/>
                <w:b/>
                <w:szCs w:val="20"/>
              </w:rPr>
            </w:pPr>
          </w:p>
        </w:tc>
        <w:tc>
          <w:tcPr>
            <w:tcW w:w="2448" w:type="dxa"/>
            <w:tcBorders>
              <w:top w:val="nil"/>
              <w:left w:val="nil"/>
              <w:bottom w:val="nil"/>
              <w:right w:val="nil"/>
            </w:tcBorders>
          </w:tcPr>
          <w:p w:rsidR="00174B0D" w:rsidRPr="00AC6FDB" w:rsidRDefault="00174B0D" w:rsidP="000472E2">
            <w:pPr>
              <w:rPr>
                <w:rFonts w:ascii="Arial" w:hAnsi="Arial" w:cs="Arial"/>
                <w:szCs w:val="20"/>
              </w:rPr>
            </w:pPr>
          </w:p>
        </w:tc>
      </w:tr>
      <w:tr w:rsidR="00174B0D" w:rsidRPr="00AC6FDB" w:rsidTr="00382998">
        <w:tc>
          <w:tcPr>
            <w:tcW w:w="1908" w:type="dxa"/>
            <w:tcBorders>
              <w:top w:val="nil"/>
              <w:left w:val="nil"/>
              <w:bottom w:val="nil"/>
              <w:right w:val="nil"/>
            </w:tcBorders>
          </w:tcPr>
          <w:p w:rsidR="00174B0D" w:rsidRPr="00AC6FDB" w:rsidRDefault="00174B0D" w:rsidP="000472E2">
            <w:pPr>
              <w:rPr>
                <w:rFonts w:ascii="Arial" w:hAnsi="Arial" w:cs="Arial"/>
                <w:b/>
                <w:szCs w:val="20"/>
              </w:rPr>
            </w:pPr>
            <w:r w:rsidRPr="00AC6FDB">
              <w:rPr>
                <w:rFonts w:ascii="Arial" w:hAnsi="Arial" w:cs="Arial"/>
                <w:b/>
                <w:sz w:val="22"/>
                <w:szCs w:val="20"/>
              </w:rPr>
              <w:t>Location:</w:t>
            </w:r>
          </w:p>
        </w:tc>
        <w:tc>
          <w:tcPr>
            <w:tcW w:w="7668" w:type="dxa"/>
            <w:gridSpan w:val="3"/>
            <w:tcBorders>
              <w:top w:val="nil"/>
              <w:left w:val="nil"/>
              <w:bottom w:val="nil"/>
              <w:right w:val="nil"/>
            </w:tcBorders>
          </w:tcPr>
          <w:p w:rsidR="00174B0D" w:rsidRPr="00AC6FDB" w:rsidRDefault="00174B0D" w:rsidP="00382998">
            <w:pPr>
              <w:jc w:val="both"/>
              <w:rPr>
                <w:rFonts w:ascii="Arial" w:hAnsi="Arial" w:cs="Arial"/>
                <w:szCs w:val="20"/>
              </w:rPr>
            </w:pPr>
            <w:smartTag w:uri="urn:schemas-microsoft-com:office:smarttags" w:element="Street">
              <w:smartTag w:uri="urn:schemas-microsoft-com:office:smarttags" w:element="address">
                <w:r w:rsidRPr="00AC6FDB">
                  <w:rPr>
                    <w:rFonts w:ascii="Arial" w:hAnsi="Arial" w:cs="Arial"/>
                    <w:sz w:val="22"/>
                    <w:szCs w:val="20"/>
                  </w:rPr>
                  <w:t xml:space="preserve">2300 </w:t>
                </w:r>
                <w:proofErr w:type="spellStart"/>
                <w:r w:rsidRPr="00AC6FDB">
                  <w:rPr>
                    <w:rFonts w:ascii="Arial" w:hAnsi="Arial" w:cs="Arial"/>
                    <w:sz w:val="22"/>
                    <w:szCs w:val="20"/>
                  </w:rPr>
                  <w:t>Yonge</w:t>
                </w:r>
                <w:proofErr w:type="spellEnd"/>
                <w:r w:rsidRPr="00AC6FDB">
                  <w:rPr>
                    <w:rFonts w:ascii="Arial" w:hAnsi="Arial" w:cs="Arial"/>
                    <w:sz w:val="22"/>
                    <w:szCs w:val="20"/>
                  </w:rPr>
                  <w:t xml:space="preserve"> Street</w:t>
                </w:r>
              </w:smartTag>
            </w:smartTag>
            <w:r w:rsidRPr="00AC6FDB">
              <w:rPr>
                <w:rFonts w:ascii="Arial" w:hAnsi="Arial" w:cs="Arial"/>
                <w:sz w:val="22"/>
                <w:szCs w:val="20"/>
              </w:rPr>
              <w:t>, 25th Floor, ADR room</w:t>
            </w:r>
          </w:p>
        </w:tc>
      </w:tr>
    </w:tbl>
    <w:p w:rsidR="00174B0D" w:rsidRDefault="00174B0D" w:rsidP="00114EC7">
      <w:pPr>
        <w:ind w:left="1890" w:hanging="1890"/>
        <w:rPr>
          <w:rFonts w:ascii="Arial" w:hAnsi="Arial" w:cs="Arial"/>
          <w:b/>
          <w:sz w:val="22"/>
          <w:szCs w:val="20"/>
        </w:rPr>
      </w:pPr>
    </w:p>
    <w:p w:rsidR="00174B0D" w:rsidRPr="00AC6FDB" w:rsidRDefault="00174B0D" w:rsidP="00114EC7">
      <w:pPr>
        <w:ind w:left="1890" w:hanging="1890"/>
        <w:rPr>
          <w:rFonts w:ascii="Arial" w:hAnsi="Arial" w:cs="Arial"/>
          <w:sz w:val="22"/>
          <w:szCs w:val="20"/>
        </w:rPr>
      </w:pPr>
      <w:r w:rsidRPr="00114EC7">
        <w:rPr>
          <w:rFonts w:ascii="Arial" w:hAnsi="Arial" w:cs="Arial"/>
          <w:b/>
          <w:sz w:val="22"/>
          <w:szCs w:val="20"/>
        </w:rPr>
        <w:t>Board Staff:</w:t>
      </w:r>
      <w:r w:rsidRPr="00AC6FDB">
        <w:rPr>
          <w:rFonts w:ascii="Arial" w:hAnsi="Arial" w:cs="Arial"/>
          <w:b/>
          <w:sz w:val="22"/>
          <w:szCs w:val="20"/>
        </w:rPr>
        <w:tab/>
      </w:r>
      <w:r w:rsidRPr="00AC6FDB">
        <w:rPr>
          <w:rFonts w:ascii="Arial" w:hAnsi="Arial" w:cs="Arial"/>
          <w:sz w:val="22"/>
          <w:szCs w:val="20"/>
        </w:rPr>
        <w:t>Russ Houldin, Rachel Anderson</w:t>
      </w:r>
    </w:p>
    <w:p w:rsidR="00174B0D" w:rsidRDefault="00174B0D" w:rsidP="00233F08">
      <w:pPr>
        <w:ind w:left="1890" w:hanging="1890"/>
        <w:rPr>
          <w:rFonts w:ascii="Arial" w:hAnsi="Arial" w:cs="Arial"/>
          <w:b/>
          <w:sz w:val="22"/>
          <w:szCs w:val="20"/>
        </w:rPr>
      </w:pPr>
    </w:p>
    <w:p w:rsidR="00174B0D" w:rsidRPr="00AC6FDB" w:rsidRDefault="00174B0D" w:rsidP="00233F08">
      <w:pPr>
        <w:ind w:left="1890" w:hanging="1890"/>
        <w:rPr>
          <w:rFonts w:ascii="Arial" w:hAnsi="Arial" w:cs="Arial"/>
          <w:sz w:val="22"/>
          <w:szCs w:val="20"/>
        </w:rPr>
      </w:pPr>
      <w:r w:rsidRPr="00AC6FDB">
        <w:rPr>
          <w:rFonts w:ascii="Arial" w:hAnsi="Arial" w:cs="Arial"/>
          <w:b/>
          <w:sz w:val="22"/>
          <w:szCs w:val="20"/>
        </w:rPr>
        <w:t>Meeting Topic:</w:t>
      </w:r>
      <w:r w:rsidRPr="00AC6FDB">
        <w:rPr>
          <w:rFonts w:ascii="Arial" w:hAnsi="Arial" w:cs="Arial"/>
          <w:b/>
          <w:sz w:val="22"/>
          <w:szCs w:val="20"/>
        </w:rPr>
        <w:tab/>
      </w:r>
      <w:r w:rsidR="00272BED" w:rsidRPr="00272BED">
        <w:rPr>
          <w:rFonts w:ascii="Arial" w:hAnsi="Arial" w:cs="Arial"/>
          <w:sz w:val="22"/>
          <w:szCs w:val="20"/>
        </w:rPr>
        <w:t>Development of smart</w:t>
      </w:r>
      <w:r w:rsidR="00272BED">
        <w:rPr>
          <w:rFonts w:ascii="Arial" w:hAnsi="Arial" w:cs="Arial"/>
          <w:sz w:val="22"/>
          <w:szCs w:val="20"/>
        </w:rPr>
        <w:t xml:space="preserve"> grid guidance in light of the </w:t>
      </w:r>
      <w:hyperlink r:id="rId10" w:tgtFrame="_blank" w:tooltip="Report_Renewed_Regulatory_Framework_RRFE_20121018" w:history="1">
        <w:r w:rsidR="00272BED" w:rsidRPr="00272BED">
          <w:rPr>
            <w:rStyle w:val="Hyperlink"/>
            <w:rFonts w:ascii="Arial" w:hAnsi="Arial" w:cs="Arial"/>
            <w:bCs/>
            <w:sz w:val="22"/>
            <w:szCs w:val="20"/>
          </w:rPr>
          <w:t>Report of the Board – A Renewed Regulatory Framework for Electricity Distributors: A Performance Based Approach</w:t>
        </w:r>
      </w:hyperlink>
    </w:p>
    <w:p w:rsidR="00174B0D" w:rsidRDefault="00174B0D">
      <w:pPr>
        <w:rPr>
          <w:rFonts w:ascii="Arial" w:hAnsi="Arial" w:cs="Arial"/>
          <w:sz w:val="22"/>
          <w:szCs w:val="20"/>
        </w:rPr>
      </w:pPr>
    </w:p>
    <w:p w:rsidR="00272BED" w:rsidRDefault="00174B0D">
      <w:pPr>
        <w:rPr>
          <w:rFonts w:ascii="Arial" w:hAnsi="Arial" w:cs="Arial"/>
          <w:sz w:val="22"/>
          <w:szCs w:val="20"/>
        </w:rPr>
      </w:pPr>
      <w:r w:rsidRPr="00114EC7">
        <w:rPr>
          <w:rFonts w:ascii="Arial" w:hAnsi="Arial" w:cs="Arial"/>
          <w:sz w:val="22"/>
          <w:szCs w:val="20"/>
        </w:rPr>
        <w:t xml:space="preserve">The purpose of the </w:t>
      </w:r>
      <w:r w:rsidR="00272BED">
        <w:rPr>
          <w:rFonts w:ascii="Arial" w:hAnsi="Arial" w:cs="Arial"/>
          <w:sz w:val="22"/>
          <w:szCs w:val="20"/>
        </w:rPr>
        <w:t>first meeting of the reconvened</w:t>
      </w:r>
      <w:r w:rsidRPr="00114EC7">
        <w:rPr>
          <w:rFonts w:ascii="Arial" w:hAnsi="Arial" w:cs="Arial"/>
          <w:sz w:val="22"/>
          <w:szCs w:val="20"/>
        </w:rPr>
        <w:t xml:space="preserve"> Smart Grid Working Group </w:t>
      </w:r>
      <w:r>
        <w:rPr>
          <w:rFonts w:ascii="Arial" w:hAnsi="Arial" w:cs="Arial"/>
          <w:sz w:val="22"/>
          <w:szCs w:val="20"/>
        </w:rPr>
        <w:t>(SGWG)</w:t>
      </w:r>
      <w:r w:rsidRPr="00114EC7">
        <w:rPr>
          <w:rFonts w:ascii="Arial" w:hAnsi="Arial" w:cs="Arial"/>
          <w:sz w:val="22"/>
          <w:szCs w:val="20"/>
        </w:rPr>
        <w:t xml:space="preserve"> was to </w:t>
      </w:r>
      <w:r>
        <w:rPr>
          <w:rFonts w:ascii="Arial" w:hAnsi="Arial" w:cs="Arial"/>
          <w:sz w:val="22"/>
          <w:szCs w:val="20"/>
        </w:rPr>
        <w:t>discuss</w:t>
      </w:r>
      <w:r w:rsidR="00272BED">
        <w:rPr>
          <w:rFonts w:ascii="Arial" w:hAnsi="Arial" w:cs="Arial"/>
          <w:sz w:val="22"/>
          <w:szCs w:val="20"/>
        </w:rPr>
        <w:t>:</w:t>
      </w:r>
    </w:p>
    <w:p w:rsidR="00272BED" w:rsidRDefault="00272BED" w:rsidP="00272BED">
      <w:pPr>
        <w:pStyle w:val="ListParagraph"/>
        <w:numPr>
          <w:ilvl w:val="0"/>
          <w:numId w:val="72"/>
        </w:numPr>
        <w:rPr>
          <w:rFonts w:ascii="Arial" w:hAnsi="Arial" w:cs="Arial"/>
          <w:sz w:val="22"/>
          <w:szCs w:val="20"/>
        </w:rPr>
      </w:pPr>
      <w:r w:rsidRPr="00272BED">
        <w:rPr>
          <w:rFonts w:ascii="Arial" w:hAnsi="Arial" w:cs="Arial"/>
          <w:sz w:val="22"/>
          <w:szCs w:val="20"/>
        </w:rPr>
        <w:t xml:space="preserve">smart grid </w:t>
      </w:r>
      <w:r>
        <w:rPr>
          <w:rFonts w:ascii="Arial" w:hAnsi="Arial" w:cs="Arial"/>
          <w:sz w:val="22"/>
          <w:szCs w:val="20"/>
        </w:rPr>
        <w:t xml:space="preserve">guidance </w:t>
      </w:r>
      <w:r w:rsidRPr="00272BED">
        <w:rPr>
          <w:rFonts w:ascii="Arial" w:hAnsi="Arial" w:cs="Arial"/>
          <w:sz w:val="22"/>
          <w:szCs w:val="20"/>
        </w:rPr>
        <w:t>in light of the Board’s recent report on the Renewed Regulatory Framework for Electricity Distributors which made two</w:t>
      </w:r>
      <w:r w:rsidR="00742A66">
        <w:rPr>
          <w:rFonts w:ascii="Arial" w:hAnsi="Arial" w:cs="Arial"/>
          <w:sz w:val="22"/>
          <w:szCs w:val="20"/>
        </w:rPr>
        <w:t xml:space="preserve"> key</w:t>
      </w:r>
      <w:r w:rsidRPr="00272BED">
        <w:rPr>
          <w:rFonts w:ascii="Arial" w:hAnsi="Arial" w:cs="Arial"/>
          <w:sz w:val="22"/>
          <w:szCs w:val="20"/>
        </w:rPr>
        <w:t xml:space="preserve"> determination</w:t>
      </w:r>
      <w:r w:rsidR="00742A66">
        <w:rPr>
          <w:rFonts w:ascii="Arial" w:hAnsi="Arial" w:cs="Arial"/>
          <w:sz w:val="22"/>
          <w:szCs w:val="20"/>
        </w:rPr>
        <w:t>s</w:t>
      </w:r>
      <w:r w:rsidRPr="00272BED">
        <w:rPr>
          <w:rFonts w:ascii="Arial" w:hAnsi="Arial" w:cs="Arial"/>
          <w:sz w:val="22"/>
          <w:szCs w:val="20"/>
        </w:rPr>
        <w:t xml:space="preserve"> in respect of smart grid issues</w:t>
      </w:r>
      <w:r>
        <w:rPr>
          <w:rFonts w:ascii="Arial" w:hAnsi="Arial" w:cs="Arial"/>
          <w:sz w:val="22"/>
          <w:szCs w:val="20"/>
        </w:rPr>
        <w:t>;</w:t>
      </w:r>
    </w:p>
    <w:p w:rsidR="00272BED" w:rsidRDefault="00272BED" w:rsidP="00272BED">
      <w:pPr>
        <w:pStyle w:val="ListParagraph"/>
        <w:numPr>
          <w:ilvl w:val="0"/>
          <w:numId w:val="72"/>
        </w:numPr>
        <w:rPr>
          <w:rFonts w:ascii="Arial" w:hAnsi="Arial" w:cs="Arial"/>
          <w:sz w:val="22"/>
          <w:szCs w:val="20"/>
        </w:rPr>
      </w:pPr>
      <w:r>
        <w:rPr>
          <w:rFonts w:ascii="Arial" w:hAnsi="Arial" w:cs="Arial"/>
          <w:sz w:val="22"/>
          <w:szCs w:val="20"/>
        </w:rPr>
        <w:t xml:space="preserve">staff’s conceptual framework for regulatory documents in order to implement smart grid guidance; </w:t>
      </w:r>
    </w:p>
    <w:p w:rsidR="00272BED" w:rsidRDefault="00272BED" w:rsidP="00272BED">
      <w:pPr>
        <w:pStyle w:val="ListParagraph"/>
        <w:numPr>
          <w:ilvl w:val="0"/>
          <w:numId w:val="72"/>
        </w:numPr>
        <w:rPr>
          <w:rFonts w:ascii="Arial" w:hAnsi="Arial" w:cs="Arial"/>
          <w:sz w:val="22"/>
          <w:szCs w:val="20"/>
        </w:rPr>
      </w:pPr>
      <w:r>
        <w:rPr>
          <w:rFonts w:ascii="Arial" w:hAnsi="Arial" w:cs="Arial"/>
          <w:sz w:val="22"/>
          <w:szCs w:val="20"/>
        </w:rPr>
        <w:t>cyber-security and privacy issues; and</w:t>
      </w:r>
    </w:p>
    <w:p w:rsidR="00174B0D" w:rsidRPr="00272BED" w:rsidRDefault="00272BED" w:rsidP="00272BED">
      <w:pPr>
        <w:pStyle w:val="ListParagraph"/>
        <w:numPr>
          <w:ilvl w:val="0"/>
          <w:numId w:val="72"/>
        </w:numPr>
        <w:rPr>
          <w:rFonts w:ascii="Arial" w:hAnsi="Arial" w:cs="Arial"/>
          <w:sz w:val="22"/>
          <w:szCs w:val="20"/>
        </w:rPr>
      </w:pPr>
      <w:proofErr w:type="gramStart"/>
      <w:r>
        <w:rPr>
          <w:rFonts w:ascii="Arial" w:hAnsi="Arial" w:cs="Arial"/>
          <w:sz w:val="22"/>
          <w:szCs w:val="20"/>
        </w:rPr>
        <w:t>facilitation</w:t>
      </w:r>
      <w:proofErr w:type="gramEnd"/>
      <w:r>
        <w:rPr>
          <w:rFonts w:ascii="Arial" w:hAnsi="Arial" w:cs="Arial"/>
          <w:sz w:val="22"/>
          <w:szCs w:val="20"/>
        </w:rPr>
        <w:t xml:space="preserve"> of access to meter data. </w:t>
      </w:r>
      <w:r w:rsidR="00174B0D" w:rsidRPr="00272BED">
        <w:rPr>
          <w:rFonts w:ascii="Arial" w:hAnsi="Arial" w:cs="Arial"/>
          <w:sz w:val="22"/>
          <w:szCs w:val="20"/>
        </w:rPr>
        <w:t xml:space="preserve">  </w:t>
      </w:r>
    </w:p>
    <w:p w:rsidR="00174B0D" w:rsidRDefault="00174B0D" w:rsidP="008E7A0F">
      <w:pPr>
        <w:pStyle w:val="NoSpacing"/>
        <w:spacing w:after="120"/>
        <w:rPr>
          <w:rFonts w:ascii="Arial" w:hAnsi="Arial" w:cs="Arial"/>
          <w:b/>
          <w:i/>
          <w:color w:val="1F497D"/>
        </w:rPr>
      </w:pPr>
    </w:p>
    <w:p w:rsidR="00174B0D" w:rsidRDefault="00272BED" w:rsidP="008B437B">
      <w:pPr>
        <w:pStyle w:val="NoSpacing"/>
        <w:rPr>
          <w:rFonts w:ascii="Arial" w:hAnsi="Arial" w:cs="Arial"/>
          <w:i/>
          <w:color w:val="1F497D"/>
        </w:rPr>
      </w:pPr>
      <w:r>
        <w:rPr>
          <w:rFonts w:ascii="Arial" w:hAnsi="Arial" w:cs="Arial"/>
          <w:b/>
          <w:i/>
          <w:color w:val="1F497D"/>
        </w:rPr>
        <w:t>Smart Grid in light of RRFE Report of the Board</w:t>
      </w:r>
    </w:p>
    <w:p w:rsidR="00174B0D" w:rsidRDefault="00174B0D" w:rsidP="008B437B">
      <w:pPr>
        <w:pStyle w:val="NoSpacing"/>
        <w:spacing w:after="60"/>
        <w:rPr>
          <w:rFonts w:ascii="Arial" w:hAnsi="Arial" w:cs="Arial"/>
          <w:i/>
          <w:color w:val="1F497D"/>
        </w:rPr>
      </w:pPr>
    </w:p>
    <w:p w:rsidR="00174B0D" w:rsidRDefault="00174B0D" w:rsidP="008B437B">
      <w:pPr>
        <w:spacing w:after="240"/>
        <w:rPr>
          <w:rFonts w:ascii="Arial" w:hAnsi="Arial" w:cs="Arial"/>
          <w:b/>
          <w:color w:val="1F497D"/>
          <w:sz w:val="22"/>
        </w:rPr>
      </w:pPr>
      <w:r w:rsidRPr="00B12757">
        <w:rPr>
          <w:rFonts w:ascii="Arial" w:hAnsi="Arial" w:cs="Arial"/>
          <w:b/>
          <w:color w:val="1F497D"/>
          <w:sz w:val="22"/>
        </w:rPr>
        <w:t>Key observations from the discussion:</w:t>
      </w:r>
    </w:p>
    <w:p w:rsidR="00174B0D" w:rsidRPr="00823F53" w:rsidRDefault="00823F53" w:rsidP="00272BED">
      <w:pPr>
        <w:numPr>
          <w:ilvl w:val="0"/>
          <w:numId w:val="57"/>
        </w:numPr>
        <w:spacing w:after="120"/>
        <w:rPr>
          <w:rFonts w:ascii="Arial" w:hAnsi="Arial" w:cs="Arial"/>
          <w:color w:val="1F497D"/>
          <w:sz w:val="22"/>
        </w:rPr>
      </w:pPr>
      <w:r>
        <w:rPr>
          <w:rFonts w:ascii="Arial" w:hAnsi="Arial" w:cs="Arial"/>
          <w:sz w:val="22"/>
        </w:rPr>
        <w:t xml:space="preserve">The RRFE Report of the Board in general, and the two specific smart grid determinations therein, generally well received by the group. </w:t>
      </w:r>
    </w:p>
    <w:p w:rsidR="00823F53" w:rsidRDefault="00823F53" w:rsidP="00272BED">
      <w:pPr>
        <w:numPr>
          <w:ilvl w:val="0"/>
          <w:numId w:val="57"/>
        </w:numPr>
        <w:spacing w:after="120"/>
        <w:rPr>
          <w:rFonts w:ascii="Arial" w:hAnsi="Arial" w:cs="Arial"/>
          <w:color w:val="1F497D"/>
          <w:sz w:val="22"/>
        </w:rPr>
      </w:pPr>
      <w:r>
        <w:rPr>
          <w:rFonts w:ascii="Arial" w:hAnsi="Arial" w:cs="Arial"/>
          <w:sz w:val="22"/>
        </w:rPr>
        <w:t xml:space="preserve">There is interest in the specifics around the demarcation of behind-the-meter services and what utilities’ responsibilities will be around facilitating access to meter data. </w:t>
      </w:r>
    </w:p>
    <w:p w:rsidR="00174B0D" w:rsidRDefault="00174B0D" w:rsidP="008B437B">
      <w:pPr>
        <w:spacing w:after="60"/>
        <w:ind w:left="360"/>
        <w:rPr>
          <w:rFonts w:ascii="Arial" w:hAnsi="Arial" w:cs="Arial"/>
          <w:color w:val="1F497D"/>
          <w:sz w:val="22"/>
        </w:rPr>
      </w:pPr>
      <w:r>
        <w:rPr>
          <w:rFonts w:ascii="Arial" w:hAnsi="Arial" w:cs="Arial"/>
          <w:color w:val="1F497D"/>
          <w:sz w:val="22"/>
        </w:rPr>
        <w:t xml:space="preserve">  </w:t>
      </w:r>
    </w:p>
    <w:p w:rsidR="00174B0D" w:rsidRPr="00B12757" w:rsidRDefault="00174B0D" w:rsidP="008E7A0F">
      <w:pPr>
        <w:spacing w:after="120"/>
        <w:rPr>
          <w:rFonts w:ascii="Arial" w:hAnsi="Arial" w:cs="Arial"/>
          <w:b/>
          <w:color w:val="1F497D"/>
          <w:sz w:val="22"/>
        </w:rPr>
      </w:pPr>
      <w:r w:rsidRPr="00B12757">
        <w:rPr>
          <w:rFonts w:ascii="Arial" w:hAnsi="Arial" w:cs="Arial"/>
          <w:b/>
          <w:color w:val="1F497D"/>
          <w:sz w:val="22"/>
        </w:rPr>
        <w:t>Discussion notes: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7908"/>
      </w:tblGrid>
      <w:tr w:rsidR="00174B0D" w:rsidRPr="00364F07" w:rsidTr="00CF59A5">
        <w:tc>
          <w:tcPr>
            <w:tcW w:w="1560" w:type="dxa"/>
            <w:shd w:val="clear" w:color="auto" w:fill="F2F2F2"/>
          </w:tcPr>
          <w:p w:rsidR="00174B0D" w:rsidRPr="00364F07" w:rsidRDefault="00174B0D" w:rsidP="00CF59A5">
            <w:pPr>
              <w:spacing w:before="120"/>
              <w:rPr>
                <w:rFonts w:ascii="Arial" w:hAnsi="Arial" w:cs="Arial"/>
                <w:b/>
                <w:i/>
                <w:sz w:val="20"/>
                <w:szCs w:val="20"/>
              </w:rPr>
            </w:pPr>
            <w:r w:rsidRPr="00364F07">
              <w:rPr>
                <w:rFonts w:ascii="Arial" w:hAnsi="Arial" w:cs="Arial"/>
                <w:b/>
                <w:i/>
                <w:sz w:val="20"/>
                <w:szCs w:val="20"/>
              </w:rPr>
              <w:t>Utilities</w:t>
            </w:r>
          </w:p>
        </w:tc>
        <w:tc>
          <w:tcPr>
            <w:tcW w:w="7908" w:type="dxa"/>
            <w:shd w:val="clear" w:color="auto" w:fill="DBE5F1"/>
          </w:tcPr>
          <w:p w:rsidR="00A53D0F" w:rsidRPr="00A53D0F" w:rsidRDefault="00BA5B76" w:rsidP="00A53D0F">
            <w:pPr>
              <w:pStyle w:val="ListParagraph"/>
              <w:numPr>
                <w:ilvl w:val="0"/>
                <w:numId w:val="3"/>
              </w:numPr>
              <w:spacing w:before="120" w:after="120"/>
              <w:ind w:left="357" w:hanging="357"/>
              <w:contextualSpacing w:val="0"/>
              <w:rPr>
                <w:rFonts w:ascii="Arial" w:hAnsi="Arial" w:cs="Arial"/>
                <w:sz w:val="20"/>
                <w:szCs w:val="20"/>
              </w:rPr>
            </w:pPr>
            <w:r>
              <w:rPr>
                <w:rFonts w:ascii="Arial" w:hAnsi="Arial" w:cs="Arial"/>
                <w:sz w:val="20"/>
                <w:szCs w:val="20"/>
              </w:rPr>
              <w:t>(</w:t>
            </w:r>
            <w:r w:rsidRPr="009626CF">
              <w:rPr>
                <w:rFonts w:ascii="Arial" w:hAnsi="Arial" w:cs="Arial"/>
                <w:i/>
                <w:sz w:val="20"/>
                <w:szCs w:val="20"/>
              </w:rPr>
              <w:t>Why not seeing greater SG deployment?</w:t>
            </w:r>
            <w:r>
              <w:rPr>
                <w:rFonts w:ascii="Arial" w:hAnsi="Arial" w:cs="Arial"/>
                <w:sz w:val="20"/>
                <w:szCs w:val="20"/>
              </w:rPr>
              <w:t xml:space="preserve">) </w:t>
            </w:r>
            <w:r w:rsidRPr="00BA5B76">
              <w:rPr>
                <w:rFonts w:ascii="Arial" w:hAnsi="Arial" w:cs="Arial"/>
                <w:sz w:val="20"/>
                <w:szCs w:val="20"/>
              </w:rPr>
              <w:t xml:space="preserve">My take is that you are probably looking at a specific area, e.g., behind the meter technologies, which may not be progressing as rapidly as other technologies.  Any other pillars of SG, EV, storage, distributed automation, analytics, seeing no obstacles so far.  We have been progressing with initiatives.  SG in terms of development (capital, O&amp;MA deferral accounts) we are looking at piloting and demonstrating.  We have several technologies that we have piloted successfully and have worked them back into </w:t>
            </w:r>
            <w:proofErr w:type="spellStart"/>
            <w:r w:rsidRPr="00BA5B76">
              <w:rPr>
                <w:rFonts w:ascii="Arial" w:hAnsi="Arial" w:cs="Arial"/>
                <w:sz w:val="20"/>
                <w:szCs w:val="20"/>
              </w:rPr>
              <w:t>capex</w:t>
            </w:r>
            <w:proofErr w:type="spellEnd"/>
            <w:r w:rsidRPr="00BA5B76">
              <w:rPr>
                <w:rFonts w:ascii="Arial" w:hAnsi="Arial" w:cs="Arial"/>
                <w:sz w:val="20"/>
                <w:szCs w:val="20"/>
              </w:rPr>
              <w:t xml:space="preserve"> program and they are now part of our operations.  I actually see no obstacles at all to SG.  Forever checking prudence and not repeating what has </w:t>
            </w:r>
            <w:r w:rsidRPr="00BA5B76">
              <w:rPr>
                <w:rFonts w:ascii="Arial" w:hAnsi="Arial" w:cs="Arial"/>
                <w:sz w:val="20"/>
                <w:szCs w:val="20"/>
              </w:rPr>
              <w:lastRenderedPageBreak/>
              <w:t xml:space="preserve">already been done, ensuring that things make sense from scalability and longer term.  I see SG </w:t>
            </w:r>
            <w:proofErr w:type="gramStart"/>
            <w:r w:rsidRPr="00BA5B76">
              <w:rPr>
                <w:rFonts w:ascii="Arial" w:hAnsi="Arial" w:cs="Arial"/>
                <w:sz w:val="20"/>
                <w:szCs w:val="20"/>
              </w:rPr>
              <w:t>as active over the past year than</w:t>
            </w:r>
            <w:proofErr w:type="gramEnd"/>
            <w:r w:rsidRPr="00BA5B76">
              <w:rPr>
                <w:rFonts w:ascii="Arial" w:hAnsi="Arial" w:cs="Arial"/>
                <w:sz w:val="20"/>
                <w:szCs w:val="20"/>
              </w:rPr>
              <w:t xml:space="preserve"> it’s ever been.  Our plan for next 5 years looks to continue this growth</w:t>
            </w:r>
            <w:r>
              <w:rPr>
                <w:rFonts w:ascii="Arial" w:hAnsi="Arial" w:cs="Arial"/>
                <w:sz w:val="20"/>
                <w:szCs w:val="20"/>
              </w:rPr>
              <w:t xml:space="preserve">. </w:t>
            </w:r>
          </w:p>
          <w:p w:rsidR="00BA5B76" w:rsidRPr="00BA5B76" w:rsidRDefault="00BA5B76" w:rsidP="00A53D0F">
            <w:pPr>
              <w:pStyle w:val="ListParagraph"/>
              <w:numPr>
                <w:ilvl w:val="0"/>
                <w:numId w:val="3"/>
              </w:numPr>
              <w:spacing w:before="120" w:after="120"/>
              <w:ind w:left="357" w:hanging="357"/>
              <w:contextualSpacing w:val="0"/>
              <w:rPr>
                <w:rFonts w:ascii="Arial" w:hAnsi="Arial" w:cs="Arial"/>
                <w:sz w:val="20"/>
                <w:szCs w:val="20"/>
              </w:rPr>
            </w:pPr>
            <w:r w:rsidRPr="00BA5B76">
              <w:rPr>
                <w:rFonts w:ascii="Arial" w:hAnsi="Arial" w:cs="Arial"/>
                <w:sz w:val="20"/>
                <w:szCs w:val="20"/>
              </w:rPr>
              <w:t xml:space="preserve">The activity that is taking place, not as smart and dumb but requisite.  What is that requisite technology in terms of upgrade, given where industry is </w:t>
            </w:r>
            <w:proofErr w:type="gramStart"/>
            <w:r w:rsidRPr="00BA5B76">
              <w:rPr>
                <w:rFonts w:ascii="Arial" w:hAnsi="Arial" w:cs="Arial"/>
                <w:sz w:val="20"/>
                <w:szCs w:val="20"/>
              </w:rPr>
              <w:t>going.</w:t>
            </w:r>
            <w:proofErr w:type="gramEnd"/>
            <w:r w:rsidRPr="00BA5B76">
              <w:rPr>
                <w:rFonts w:ascii="Arial" w:hAnsi="Arial" w:cs="Arial"/>
                <w:sz w:val="20"/>
                <w:szCs w:val="20"/>
              </w:rPr>
              <w:t xml:space="preserve"> The requisite technology is going on in a rapid pace (e.g., analytics). 3 things that cause us to hesitate: there is no recognized way of calculating benefits, dependent on a case and it is an issue if it gets agreed or not agreed in filing.  Case with Texas and California.  2nd issue, because of its foundational aspect, foundational aspects are invisible and still in the works.  Rest of SG is only hitting those LDCs where policy is driving it, other LDCs are dormant. Other locations are very visible (China, India, Japan), because of the size. e.g., 4000 MW of wind every year.  If you look forward to the next 10 years, the foundation we are building now will be a superstructure</w:t>
            </w:r>
          </w:p>
          <w:p w:rsidR="00174B0D" w:rsidRDefault="009626CF" w:rsidP="00A53D0F">
            <w:pPr>
              <w:numPr>
                <w:ilvl w:val="0"/>
                <w:numId w:val="3"/>
              </w:numPr>
              <w:spacing w:before="120" w:after="120"/>
              <w:ind w:left="357" w:hanging="357"/>
              <w:rPr>
                <w:rFonts w:ascii="Arial" w:hAnsi="Arial" w:cs="Arial"/>
                <w:sz w:val="20"/>
                <w:szCs w:val="20"/>
              </w:rPr>
            </w:pPr>
            <w:proofErr w:type="gramStart"/>
            <w:r>
              <w:rPr>
                <w:rFonts w:ascii="Arial" w:hAnsi="Arial" w:cs="Arial"/>
                <w:sz w:val="20"/>
                <w:szCs w:val="20"/>
              </w:rPr>
              <w:t>D</w:t>
            </w:r>
            <w:r w:rsidRPr="009626CF">
              <w:rPr>
                <w:rFonts w:ascii="Arial" w:hAnsi="Arial" w:cs="Arial"/>
                <w:sz w:val="20"/>
                <w:szCs w:val="20"/>
              </w:rPr>
              <w:t>isaggregated</w:t>
            </w:r>
            <w:r>
              <w:rPr>
                <w:rFonts w:ascii="Arial" w:hAnsi="Arial" w:cs="Arial"/>
                <w:sz w:val="20"/>
                <w:szCs w:val="20"/>
              </w:rPr>
              <w:t xml:space="preserve"> benefits</w:t>
            </w:r>
            <w:r w:rsidRPr="009626CF">
              <w:rPr>
                <w:rFonts w:ascii="Arial" w:hAnsi="Arial" w:cs="Arial"/>
                <w:sz w:val="20"/>
                <w:szCs w:val="20"/>
              </w:rPr>
              <w:t xml:space="preserve"> is</w:t>
            </w:r>
            <w:proofErr w:type="gramEnd"/>
            <w:r w:rsidRPr="009626CF">
              <w:rPr>
                <w:rFonts w:ascii="Arial" w:hAnsi="Arial" w:cs="Arial"/>
                <w:sz w:val="20"/>
                <w:szCs w:val="20"/>
              </w:rPr>
              <w:t xml:space="preserve"> another challenge.  The fact that we say by doing this, he or she will benefit and they lie outside our jurisdiction.  And then we get the question of how do we know that these other folks will benefit?  </w:t>
            </w:r>
          </w:p>
          <w:p w:rsidR="009626CF" w:rsidRDefault="009626CF" w:rsidP="00A53D0F">
            <w:pPr>
              <w:numPr>
                <w:ilvl w:val="0"/>
                <w:numId w:val="3"/>
              </w:numPr>
              <w:spacing w:before="120" w:after="120"/>
              <w:ind w:left="357" w:hanging="357"/>
              <w:rPr>
                <w:rFonts w:ascii="Arial" w:hAnsi="Arial" w:cs="Arial"/>
                <w:sz w:val="20"/>
                <w:szCs w:val="20"/>
              </w:rPr>
            </w:pPr>
            <w:r>
              <w:rPr>
                <w:rFonts w:ascii="Arial" w:hAnsi="Arial" w:cs="Arial"/>
                <w:sz w:val="20"/>
                <w:szCs w:val="20"/>
              </w:rPr>
              <w:t>T</w:t>
            </w:r>
            <w:r w:rsidRPr="009626CF">
              <w:rPr>
                <w:rFonts w:ascii="Arial" w:hAnsi="Arial" w:cs="Arial"/>
                <w:sz w:val="20"/>
                <w:szCs w:val="20"/>
              </w:rPr>
              <w:t>he price of the commodity is low here.  There is a process. Business case prevents the growth of EV / SG etc. because the energy price is so low.</w:t>
            </w:r>
          </w:p>
          <w:p w:rsidR="00A53D0F" w:rsidRPr="00A53D0F" w:rsidRDefault="009626CF" w:rsidP="00A53D0F">
            <w:pPr>
              <w:pStyle w:val="ListParagraph"/>
              <w:numPr>
                <w:ilvl w:val="0"/>
                <w:numId w:val="3"/>
              </w:numPr>
              <w:spacing w:before="120" w:after="120"/>
              <w:ind w:left="357" w:hanging="357"/>
              <w:contextualSpacing w:val="0"/>
              <w:rPr>
                <w:rFonts w:ascii="Arial" w:hAnsi="Arial" w:cs="Arial"/>
                <w:sz w:val="20"/>
                <w:szCs w:val="20"/>
              </w:rPr>
            </w:pPr>
            <w:r w:rsidRPr="009626CF">
              <w:rPr>
                <w:rFonts w:ascii="Arial" w:hAnsi="Arial" w:cs="Arial"/>
                <w:sz w:val="20"/>
                <w:szCs w:val="20"/>
              </w:rPr>
              <w:t>Initial thoughts were no surprises based on previous discussions.  One of the challenges we are trying to sort out, whether it’s the Green Button approach or otherwise, do we set up an affiliate to compete behind the meter?  Greatest areas of discussion from a strictly SG point of few.  Looking at the other RRFE frameworks, this coordination – our concern is that there is overlap between 2 or more of the 4 groups and we weren’t really looking out for that.  We have representation on the capital side but not the other 2 committees.  Supplementary report should close any gaps.</w:t>
            </w:r>
          </w:p>
          <w:p w:rsidR="000B1EBE" w:rsidRPr="000B1EBE" w:rsidRDefault="000B1EBE" w:rsidP="00A53D0F">
            <w:pPr>
              <w:pStyle w:val="ListParagraph"/>
              <w:numPr>
                <w:ilvl w:val="0"/>
                <w:numId w:val="3"/>
              </w:numPr>
              <w:spacing w:before="120" w:after="120"/>
              <w:ind w:left="357" w:hanging="357"/>
              <w:contextualSpacing w:val="0"/>
              <w:rPr>
                <w:rFonts w:ascii="Arial" w:hAnsi="Arial" w:cs="Arial"/>
                <w:sz w:val="20"/>
                <w:szCs w:val="20"/>
              </w:rPr>
            </w:pPr>
            <w:r w:rsidRPr="000B1EBE">
              <w:rPr>
                <w:rFonts w:ascii="Arial" w:hAnsi="Arial" w:cs="Arial"/>
                <w:sz w:val="20"/>
                <w:szCs w:val="20"/>
              </w:rPr>
              <w:t>If we can clarify what is going to happen how do we reconcile GEA with OEB guidance?  Need a firm stance on what the going forward regulation is…that considers all these sources.  Some gaps in EV and energy storage.  Some constraints in terms of justifying the value and the cost of engaging in even a small demonstration.  We need to align new guidelines with the old one.</w:t>
            </w:r>
          </w:p>
          <w:p w:rsidR="000B1EBE" w:rsidRPr="000B1EBE" w:rsidRDefault="000B1EBE" w:rsidP="00A53D0F">
            <w:pPr>
              <w:pStyle w:val="ListParagraph"/>
              <w:numPr>
                <w:ilvl w:val="0"/>
                <w:numId w:val="3"/>
              </w:numPr>
              <w:spacing w:before="120" w:after="120"/>
              <w:ind w:left="357" w:hanging="357"/>
              <w:contextualSpacing w:val="0"/>
              <w:rPr>
                <w:rFonts w:ascii="Arial" w:hAnsi="Arial" w:cs="Arial"/>
                <w:sz w:val="20"/>
                <w:szCs w:val="20"/>
              </w:rPr>
            </w:pPr>
            <w:r w:rsidRPr="000B1EBE">
              <w:rPr>
                <w:rFonts w:ascii="Arial" w:hAnsi="Arial" w:cs="Arial"/>
                <w:sz w:val="20"/>
                <w:szCs w:val="20"/>
              </w:rPr>
              <w:t>We were excited / interested in seeing how the new rate applications process goes.  We are getting more active in the rate application space, taking a proactive role</w:t>
            </w:r>
          </w:p>
          <w:p w:rsidR="009626CF" w:rsidRDefault="000B1EBE" w:rsidP="00A53D0F">
            <w:pPr>
              <w:numPr>
                <w:ilvl w:val="0"/>
                <w:numId w:val="3"/>
              </w:numPr>
              <w:spacing w:before="120" w:after="120"/>
              <w:ind w:left="357" w:hanging="357"/>
              <w:rPr>
                <w:rFonts w:ascii="Arial" w:hAnsi="Arial" w:cs="Arial"/>
                <w:sz w:val="20"/>
                <w:szCs w:val="20"/>
              </w:rPr>
            </w:pPr>
            <w:r w:rsidRPr="000B1EBE">
              <w:rPr>
                <w:rFonts w:ascii="Arial" w:hAnsi="Arial" w:cs="Arial"/>
                <w:sz w:val="20"/>
                <w:szCs w:val="20"/>
              </w:rPr>
              <w:t>2 aspects of the RRFE we are struggling with.  BTM language is welcome, but we are having a hard time reconciling this with the fact that we are doing a lot behind the meter now.  What happens to our existing programs that are BTM after 2014?  Other aspect is that we expect SG development to be coordinated on a regional basis, how would this play out?</w:t>
            </w:r>
          </w:p>
          <w:p w:rsidR="000B1EBE" w:rsidRDefault="000B1EBE" w:rsidP="00A53D0F">
            <w:pPr>
              <w:numPr>
                <w:ilvl w:val="0"/>
                <w:numId w:val="3"/>
              </w:numPr>
              <w:spacing w:before="120" w:after="120"/>
              <w:ind w:left="357" w:hanging="357"/>
              <w:rPr>
                <w:rFonts w:ascii="Arial" w:hAnsi="Arial" w:cs="Arial"/>
                <w:sz w:val="20"/>
                <w:szCs w:val="20"/>
              </w:rPr>
            </w:pPr>
            <w:r w:rsidRPr="000B1EBE">
              <w:rPr>
                <w:rFonts w:ascii="Arial" w:hAnsi="Arial" w:cs="Arial"/>
                <w:sz w:val="20"/>
                <w:szCs w:val="20"/>
              </w:rPr>
              <w:t xml:space="preserve">Not too many surprises, generally well received.  Have already started some regional work.  We all have our own SM networks but have joined with Waterloo Region to develop tower network to collect readings.  Like having the meter as the demarcation point, but we need to create a standard way of allowing customers to connect with the BTM services.  </w:t>
            </w:r>
          </w:p>
          <w:p w:rsidR="000B1EBE" w:rsidRPr="000B1EBE" w:rsidRDefault="000B1EBE" w:rsidP="00A53D0F">
            <w:pPr>
              <w:numPr>
                <w:ilvl w:val="0"/>
                <w:numId w:val="3"/>
              </w:numPr>
              <w:spacing w:before="120" w:after="120"/>
              <w:ind w:left="357" w:hanging="357"/>
              <w:rPr>
                <w:rFonts w:ascii="Arial" w:hAnsi="Arial" w:cs="Arial"/>
                <w:sz w:val="20"/>
                <w:szCs w:val="20"/>
              </w:rPr>
            </w:pPr>
            <w:r w:rsidRPr="000B1EBE">
              <w:rPr>
                <w:rFonts w:ascii="Arial" w:hAnsi="Arial" w:cs="Arial"/>
                <w:sz w:val="20"/>
                <w:szCs w:val="20"/>
              </w:rPr>
              <w:t xml:space="preserve">Approach is BTM services is an economic development of the process.  We recognize that the brand and the agency of trust </w:t>
            </w:r>
            <w:proofErr w:type="gramStart"/>
            <w:r w:rsidRPr="000B1EBE">
              <w:rPr>
                <w:rFonts w:ascii="Arial" w:hAnsi="Arial" w:cs="Arial"/>
                <w:sz w:val="20"/>
                <w:szCs w:val="20"/>
              </w:rPr>
              <w:t>is</w:t>
            </w:r>
            <w:proofErr w:type="gramEnd"/>
            <w:r w:rsidRPr="000B1EBE">
              <w:rPr>
                <w:rFonts w:ascii="Arial" w:hAnsi="Arial" w:cs="Arial"/>
                <w:sz w:val="20"/>
                <w:szCs w:val="20"/>
              </w:rPr>
              <w:t xml:space="preserve"> the LDC’s and the gas companies and others, and so we will be brought into it in some shape or form.  We will not be in BTM, but we will be with it.  Welcome regional planning.  New technologies require coordination, specifically energy storage.  For storage, there is a 10 MW available in the code, but we need clarification on how we can work </w:t>
            </w:r>
            <w:r w:rsidRPr="000B1EBE">
              <w:rPr>
                <w:rFonts w:ascii="Arial" w:hAnsi="Arial" w:cs="Arial"/>
                <w:sz w:val="20"/>
                <w:szCs w:val="20"/>
              </w:rPr>
              <w:lastRenderedPageBreak/>
              <w:t xml:space="preserve">towards a demonstration.  The blurring of T&amp;D will happen more.  Where do we go with respect to a hard line between T&amp;D as SG gets rolled out </w:t>
            </w:r>
            <w:proofErr w:type="gramStart"/>
            <w:r w:rsidRPr="000B1EBE">
              <w:rPr>
                <w:rFonts w:ascii="Arial" w:hAnsi="Arial" w:cs="Arial"/>
                <w:sz w:val="20"/>
                <w:szCs w:val="20"/>
              </w:rPr>
              <w:t>more.</w:t>
            </w:r>
            <w:proofErr w:type="gramEnd"/>
            <w:r w:rsidRPr="000B1EBE">
              <w:rPr>
                <w:rFonts w:ascii="Arial" w:hAnsi="Arial" w:cs="Arial"/>
                <w:sz w:val="20"/>
                <w:szCs w:val="20"/>
              </w:rPr>
              <w:t xml:space="preserve"> Anything on the DX will be the LDCs proxy-controlled by the IESO.  Need some foundational case. We have the right to curtail if our limits are violated.  We are not load balancing identities, but the IESO is.  There was a market panel of the IESO that said that perhaps we will govern this generation that give us the proxy ability to control.  This is incorporated into our SG planning.  If this is going to be impacted by 2014 changes, someone needs to tell us to stop. Have the right to curtail only when it violates our wires limits, very blurry area. Anything that is a violation to foundational assets, we have the right to curtail.  We cannot control for the function of maximization.  We are not a load-balancing authority.  LDCs should go to a load-balancing authority in the future. IESO did say they may want to revisit the rules. Could become that 50% of province could come through green energy connections.  They are economically at 0, so they should be </w:t>
            </w:r>
            <w:proofErr w:type="spellStart"/>
            <w:r w:rsidRPr="000B1EBE">
              <w:rPr>
                <w:rFonts w:ascii="Arial" w:hAnsi="Arial" w:cs="Arial"/>
                <w:sz w:val="20"/>
                <w:szCs w:val="20"/>
              </w:rPr>
              <w:t>locationally</w:t>
            </w:r>
            <w:proofErr w:type="spellEnd"/>
            <w:r w:rsidRPr="000B1EBE">
              <w:rPr>
                <w:rFonts w:ascii="Arial" w:hAnsi="Arial" w:cs="Arial"/>
                <w:sz w:val="20"/>
                <w:szCs w:val="20"/>
              </w:rPr>
              <w:t xml:space="preserve"> dependent, not just on the marginal cost</w:t>
            </w:r>
          </w:p>
          <w:p w:rsidR="000B1EBE" w:rsidRPr="000B1EBE" w:rsidRDefault="000B1EBE" w:rsidP="00A53D0F">
            <w:pPr>
              <w:numPr>
                <w:ilvl w:val="0"/>
                <w:numId w:val="3"/>
              </w:numPr>
              <w:spacing w:before="120" w:after="120"/>
              <w:ind w:left="357" w:hanging="357"/>
              <w:rPr>
                <w:rFonts w:ascii="Arial" w:hAnsi="Arial" w:cs="Arial"/>
                <w:sz w:val="20"/>
                <w:szCs w:val="20"/>
              </w:rPr>
            </w:pPr>
            <w:r w:rsidRPr="000B1EBE">
              <w:rPr>
                <w:rFonts w:ascii="Arial" w:hAnsi="Arial" w:cs="Arial"/>
                <w:sz w:val="20"/>
                <w:szCs w:val="20"/>
              </w:rPr>
              <w:t>Whether the Board actually looks at the technical detail or not is one aspect, regardless, the board should be cognizant that some SG technology is more expense, and so should not stop SG on basis of cost</w:t>
            </w:r>
          </w:p>
          <w:p w:rsidR="000558A3" w:rsidRDefault="000B1EBE" w:rsidP="000558A3">
            <w:pPr>
              <w:pStyle w:val="ListParagraph"/>
              <w:numPr>
                <w:ilvl w:val="0"/>
                <w:numId w:val="3"/>
              </w:numPr>
              <w:spacing w:before="120" w:after="120"/>
              <w:ind w:left="357" w:hanging="357"/>
              <w:contextualSpacing w:val="0"/>
              <w:rPr>
                <w:rFonts w:ascii="Arial" w:hAnsi="Arial" w:cs="Arial"/>
                <w:sz w:val="20"/>
                <w:szCs w:val="20"/>
              </w:rPr>
            </w:pPr>
            <w:r w:rsidRPr="000558A3">
              <w:rPr>
                <w:rFonts w:ascii="Arial" w:hAnsi="Arial" w:cs="Arial"/>
                <w:sz w:val="20"/>
                <w:szCs w:val="20"/>
              </w:rPr>
              <w:t>Utility needs to develop a standard. A demonstration requires 2 years.  Once it is a standard it can be embedded.  Smart meter life cycle is 10-15 years, and now some of these smart meters are already getting obsolete.  Most of the technologies we are trying to bring through demonstrations are going to be obsolete.  Its complex…we either move or we don’t get anything done</w:t>
            </w:r>
            <w:r w:rsidR="000558A3" w:rsidRPr="000558A3">
              <w:rPr>
                <w:rFonts w:ascii="Arial" w:hAnsi="Arial" w:cs="Arial"/>
                <w:sz w:val="20"/>
                <w:szCs w:val="20"/>
              </w:rPr>
              <w:t>.</w:t>
            </w:r>
          </w:p>
          <w:p w:rsidR="000B1EBE" w:rsidRPr="000558A3" w:rsidRDefault="000B1EBE" w:rsidP="000558A3">
            <w:pPr>
              <w:pStyle w:val="ListParagraph"/>
              <w:numPr>
                <w:ilvl w:val="0"/>
                <w:numId w:val="3"/>
              </w:numPr>
              <w:spacing w:before="120" w:after="120"/>
              <w:ind w:left="357" w:hanging="357"/>
              <w:contextualSpacing w:val="0"/>
              <w:rPr>
                <w:rFonts w:ascii="Arial" w:hAnsi="Arial" w:cs="Arial"/>
                <w:sz w:val="20"/>
                <w:szCs w:val="20"/>
              </w:rPr>
            </w:pPr>
            <w:r w:rsidRPr="000558A3">
              <w:rPr>
                <w:rFonts w:ascii="Arial" w:hAnsi="Arial" w:cs="Arial"/>
                <w:sz w:val="20"/>
                <w:szCs w:val="20"/>
              </w:rPr>
              <w:t>We treat SG as separate from our capital planning process.  I think regional coordination is well addressed in the Board Report.  Small utilities do not have a specific SG plan.  Need to consider regional issues around large LDCs.  Planning and strategy is a big issue</w:t>
            </w:r>
          </w:p>
          <w:p w:rsidR="000B1EBE" w:rsidRDefault="00E81995" w:rsidP="00A53D0F">
            <w:pPr>
              <w:numPr>
                <w:ilvl w:val="0"/>
                <w:numId w:val="3"/>
              </w:numPr>
              <w:spacing w:before="120" w:after="120"/>
              <w:ind w:left="357" w:hanging="357"/>
              <w:rPr>
                <w:rFonts w:ascii="Arial" w:hAnsi="Arial" w:cs="Arial"/>
                <w:sz w:val="20"/>
                <w:szCs w:val="20"/>
              </w:rPr>
            </w:pPr>
            <w:r w:rsidRPr="00E81995">
              <w:rPr>
                <w:rFonts w:ascii="Arial" w:hAnsi="Arial" w:cs="Arial"/>
                <w:sz w:val="20"/>
                <w:szCs w:val="20"/>
              </w:rPr>
              <w:t>NIST is viewing to keep the 4 technology options open.  Even if they do accept this, the market is still fragmented.  There is an infrastructure that can or cannot take it, we need to consider this.  This will be the weakest in the enable of BTM</w:t>
            </w:r>
          </w:p>
          <w:p w:rsidR="00E81995" w:rsidRPr="00A53D0F" w:rsidRDefault="00E81995" w:rsidP="00A53D0F">
            <w:pPr>
              <w:numPr>
                <w:ilvl w:val="0"/>
                <w:numId w:val="3"/>
              </w:numPr>
              <w:spacing w:before="120" w:after="120"/>
              <w:ind w:left="357" w:hanging="357"/>
              <w:rPr>
                <w:rFonts w:ascii="Arial" w:hAnsi="Arial" w:cs="Arial"/>
                <w:sz w:val="20"/>
                <w:szCs w:val="20"/>
              </w:rPr>
            </w:pPr>
            <w:r w:rsidRPr="00E81995">
              <w:rPr>
                <w:rFonts w:ascii="Arial" w:hAnsi="Arial" w:cs="Arial"/>
                <w:sz w:val="20"/>
                <w:szCs w:val="20"/>
              </w:rPr>
              <w:t>Latest German standard is very prescriptive.  If we do take this standard that has been taken 6 months ago.  Who in Ontario would say thou shalt? We don’t have a body here that can do this</w:t>
            </w:r>
            <w:r>
              <w:rPr>
                <w:rFonts w:ascii="Arial" w:hAnsi="Arial" w:cs="Arial"/>
                <w:sz w:val="20"/>
                <w:szCs w:val="20"/>
              </w:rPr>
              <w:t xml:space="preserve">. </w:t>
            </w:r>
          </w:p>
        </w:tc>
      </w:tr>
      <w:tr w:rsidR="00174B0D" w:rsidRPr="00364F07" w:rsidTr="00CF59A5">
        <w:tc>
          <w:tcPr>
            <w:tcW w:w="1560" w:type="dxa"/>
            <w:shd w:val="clear" w:color="auto" w:fill="F2F2F2"/>
          </w:tcPr>
          <w:p w:rsidR="00174B0D" w:rsidRPr="00364F07" w:rsidRDefault="00174B0D" w:rsidP="00CF59A5">
            <w:pPr>
              <w:spacing w:before="120"/>
              <w:rPr>
                <w:rFonts w:ascii="Arial" w:hAnsi="Arial" w:cs="Arial"/>
                <w:b/>
                <w:i/>
                <w:sz w:val="20"/>
                <w:szCs w:val="20"/>
              </w:rPr>
            </w:pPr>
            <w:r w:rsidRPr="00364F07">
              <w:rPr>
                <w:rFonts w:ascii="Arial" w:hAnsi="Arial" w:cs="Arial"/>
                <w:b/>
                <w:i/>
                <w:sz w:val="20"/>
                <w:szCs w:val="20"/>
              </w:rPr>
              <w:lastRenderedPageBreak/>
              <w:t>Technology Vendors</w:t>
            </w:r>
          </w:p>
        </w:tc>
        <w:tc>
          <w:tcPr>
            <w:tcW w:w="7908" w:type="dxa"/>
            <w:shd w:val="clear" w:color="auto" w:fill="DBE5F1"/>
          </w:tcPr>
          <w:p w:rsidR="00174B0D" w:rsidRPr="000B1EBE" w:rsidRDefault="00BA5B76" w:rsidP="00A53D0F">
            <w:pPr>
              <w:numPr>
                <w:ilvl w:val="0"/>
                <w:numId w:val="3"/>
              </w:numPr>
              <w:spacing w:before="120" w:after="120"/>
              <w:ind w:left="357" w:hanging="357"/>
              <w:rPr>
                <w:rFonts w:ascii="Arial" w:hAnsi="Arial" w:cs="Arial"/>
                <w:sz w:val="20"/>
                <w:szCs w:val="20"/>
              </w:rPr>
            </w:pPr>
            <w:r w:rsidRPr="00BA5B76">
              <w:rPr>
                <w:rFonts w:ascii="Arial" w:hAnsi="Arial" w:cs="Arial"/>
                <w:sz w:val="20"/>
                <w:szCs w:val="20"/>
                <w:lang w:val="en-CA"/>
              </w:rPr>
              <w:t xml:space="preserve">Agree with LDCs on foundational up to meter issues.  Every utility in the room is doing a lot of work in pilots and demonstrations etc.  Takes time.  The OEB would not allow way faster growth in terms of recovering the rate.  Behind the meter, there is still </w:t>
            </w:r>
            <w:proofErr w:type="gramStart"/>
            <w:r w:rsidRPr="00BA5B76">
              <w:rPr>
                <w:rFonts w:ascii="Arial" w:hAnsi="Arial" w:cs="Arial"/>
                <w:sz w:val="20"/>
                <w:szCs w:val="20"/>
                <w:lang w:val="en-CA"/>
              </w:rPr>
              <w:t>work</w:t>
            </w:r>
            <w:proofErr w:type="gramEnd"/>
            <w:r w:rsidRPr="00BA5B76">
              <w:rPr>
                <w:rFonts w:ascii="Arial" w:hAnsi="Arial" w:cs="Arial"/>
                <w:sz w:val="20"/>
                <w:szCs w:val="20"/>
                <w:lang w:val="en-CA"/>
              </w:rPr>
              <w:t xml:space="preserve"> going on.  IESO now has all the metering data, but where is the business case, who is asking for the data?  The data is going to come, but takes some time for the value.  Have OPA with all the conservation efforts, driving pilots and conversation.  Utilities may use data for other aspect that are not under the mandate of the OEB</w:t>
            </w:r>
          </w:p>
          <w:p w:rsidR="000B1EBE" w:rsidRPr="000B1EBE" w:rsidRDefault="000B1EBE" w:rsidP="00A53D0F">
            <w:pPr>
              <w:numPr>
                <w:ilvl w:val="0"/>
                <w:numId w:val="3"/>
              </w:numPr>
              <w:spacing w:before="120" w:after="120"/>
              <w:ind w:left="357" w:hanging="357"/>
              <w:rPr>
                <w:rFonts w:ascii="Arial" w:hAnsi="Arial" w:cs="Arial"/>
                <w:sz w:val="20"/>
                <w:szCs w:val="20"/>
              </w:rPr>
            </w:pPr>
            <w:r w:rsidRPr="009626CF">
              <w:rPr>
                <w:rFonts w:ascii="Arial" w:hAnsi="Arial" w:cs="Arial"/>
                <w:sz w:val="20"/>
                <w:szCs w:val="20"/>
                <w:lang w:val="en-CA"/>
              </w:rPr>
              <w:t>Not a lot of big surprises, but very happy to see the lack of distinction between normal operating costs and SG investment.  Not clear on how we define what is a SG investment?  Is it capital to enable capital assets that enable the SG?  Or is it software and services that enable the SG.  There is a whole area of discussion around what do we mean when we say SG?  Certainly getting behind the meter, SG is about getting the feedback and data to as many users as possible</w:t>
            </w:r>
          </w:p>
          <w:p w:rsidR="000B1EBE" w:rsidRDefault="000B1EBE" w:rsidP="00A53D0F">
            <w:pPr>
              <w:numPr>
                <w:ilvl w:val="0"/>
                <w:numId w:val="3"/>
              </w:numPr>
              <w:spacing w:before="120" w:after="120"/>
              <w:ind w:left="357" w:hanging="357"/>
              <w:rPr>
                <w:rFonts w:ascii="Arial" w:hAnsi="Arial" w:cs="Arial"/>
                <w:sz w:val="20"/>
                <w:szCs w:val="20"/>
              </w:rPr>
            </w:pPr>
            <w:r w:rsidRPr="000B1EBE">
              <w:rPr>
                <w:rFonts w:ascii="Arial" w:hAnsi="Arial" w:cs="Arial"/>
                <w:sz w:val="20"/>
                <w:szCs w:val="20"/>
              </w:rPr>
              <w:t>We are interested in time of use data</w:t>
            </w:r>
            <w:r w:rsidR="000558A3">
              <w:rPr>
                <w:rFonts w:ascii="Arial" w:hAnsi="Arial" w:cs="Arial"/>
                <w:sz w:val="20"/>
                <w:szCs w:val="20"/>
              </w:rPr>
              <w:t xml:space="preserve">. </w:t>
            </w:r>
          </w:p>
          <w:p w:rsidR="000B1EBE" w:rsidRPr="000B1EBE" w:rsidRDefault="000B1EBE" w:rsidP="00A53D0F">
            <w:pPr>
              <w:pStyle w:val="ListParagraph"/>
              <w:numPr>
                <w:ilvl w:val="0"/>
                <w:numId w:val="3"/>
              </w:numPr>
              <w:spacing w:before="120" w:after="120"/>
              <w:ind w:left="357" w:hanging="357"/>
              <w:contextualSpacing w:val="0"/>
              <w:rPr>
                <w:rFonts w:ascii="Arial" w:hAnsi="Arial" w:cs="Arial"/>
                <w:sz w:val="20"/>
                <w:szCs w:val="20"/>
              </w:rPr>
            </w:pPr>
            <w:r w:rsidRPr="000B1EBE">
              <w:rPr>
                <w:rFonts w:ascii="Arial" w:hAnsi="Arial" w:cs="Arial"/>
                <w:sz w:val="20"/>
                <w:szCs w:val="20"/>
              </w:rPr>
              <w:t xml:space="preserve">Interoperability, behind the meter access for use of customer data, and questions on what this means for me.  I think a lot of this lies in and around the NIST framework, which will ideally address interoperability, future proofing, etc. By </w:t>
            </w:r>
            <w:r w:rsidRPr="000B1EBE">
              <w:rPr>
                <w:rFonts w:ascii="Arial" w:hAnsi="Arial" w:cs="Arial"/>
                <w:sz w:val="20"/>
                <w:szCs w:val="20"/>
              </w:rPr>
              <w:lastRenderedPageBreak/>
              <w:t>adopting a standardized architecture for the SG, everyone can rally around and use as a framework for investments.  SG Corporate Partners Committee (CPC) framework endorsed the NIST framework.  And embodied within this is the ESI, energy services interface, which by definition is to allow 3rd parties to conduct value based services with the architecture of the SG to address customer value.  Is there a role for the LDC or not, can the LDC provide a 3rd party access to data that is not the LDC?  CPC thinks this should be okay, assuming privacy and security, who owns the data etc.  ESI is a good way to unlock SG and all the benefits of it.</w:t>
            </w:r>
          </w:p>
          <w:p w:rsidR="000B1EBE" w:rsidRDefault="00E81995" w:rsidP="00A53D0F">
            <w:pPr>
              <w:numPr>
                <w:ilvl w:val="0"/>
                <w:numId w:val="3"/>
              </w:numPr>
              <w:spacing w:before="120" w:after="120"/>
              <w:ind w:left="357" w:hanging="357"/>
              <w:rPr>
                <w:rFonts w:ascii="Arial" w:hAnsi="Arial" w:cs="Arial"/>
                <w:sz w:val="20"/>
                <w:szCs w:val="20"/>
              </w:rPr>
            </w:pPr>
            <w:r w:rsidRPr="00E81995">
              <w:rPr>
                <w:rFonts w:ascii="Arial" w:hAnsi="Arial" w:cs="Arial"/>
                <w:sz w:val="20"/>
                <w:szCs w:val="20"/>
              </w:rPr>
              <w:t xml:space="preserve">I would argue that standards are not how, they are the what.  If we can agree on standards, there may be multiple choices that agree to that standard.  </w:t>
            </w:r>
          </w:p>
          <w:p w:rsidR="00796C6B" w:rsidRDefault="00796C6B" w:rsidP="00A53D0F">
            <w:pPr>
              <w:numPr>
                <w:ilvl w:val="0"/>
                <w:numId w:val="3"/>
              </w:numPr>
              <w:spacing w:before="120" w:after="120"/>
              <w:ind w:left="357" w:hanging="357"/>
              <w:rPr>
                <w:rFonts w:ascii="Arial" w:hAnsi="Arial" w:cs="Arial"/>
                <w:sz w:val="20"/>
                <w:szCs w:val="20"/>
              </w:rPr>
            </w:pPr>
            <w:r>
              <w:rPr>
                <w:rFonts w:ascii="Arial" w:hAnsi="Arial" w:cs="Arial"/>
                <w:sz w:val="20"/>
                <w:szCs w:val="20"/>
              </w:rPr>
              <w:t>Standards n</w:t>
            </w:r>
            <w:r w:rsidRPr="00796C6B">
              <w:rPr>
                <w:rFonts w:ascii="Arial" w:hAnsi="Arial" w:cs="Arial"/>
                <w:sz w:val="20"/>
                <w:szCs w:val="20"/>
              </w:rPr>
              <w:t>ot a Board issue, it’s an industry issue</w:t>
            </w:r>
            <w:r w:rsidR="000558A3">
              <w:rPr>
                <w:rFonts w:ascii="Arial" w:hAnsi="Arial" w:cs="Arial"/>
                <w:sz w:val="20"/>
                <w:szCs w:val="20"/>
              </w:rPr>
              <w:t xml:space="preserve">. </w:t>
            </w:r>
          </w:p>
          <w:p w:rsidR="00925770" w:rsidRDefault="00925770" w:rsidP="00A53D0F">
            <w:pPr>
              <w:numPr>
                <w:ilvl w:val="0"/>
                <w:numId w:val="3"/>
              </w:numPr>
              <w:spacing w:before="120" w:after="120"/>
              <w:ind w:left="357" w:hanging="357"/>
              <w:rPr>
                <w:rFonts w:ascii="Arial" w:hAnsi="Arial" w:cs="Arial"/>
                <w:sz w:val="20"/>
                <w:szCs w:val="20"/>
              </w:rPr>
            </w:pPr>
            <w:r w:rsidRPr="00925770">
              <w:rPr>
                <w:rFonts w:ascii="Arial" w:hAnsi="Arial" w:cs="Arial"/>
                <w:sz w:val="20"/>
                <w:szCs w:val="20"/>
              </w:rPr>
              <w:t>Every other market has the market making the decisions, such as with cell phones (IOS, android, etc.). Standards are driven and adopted by the consumers who buy the products</w:t>
            </w:r>
            <w:r>
              <w:rPr>
                <w:rFonts w:ascii="Arial" w:hAnsi="Arial" w:cs="Arial"/>
                <w:sz w:val="20"/>
                <w:szCs w:val="20"/>
              </w:rPr>
              <w:t xml:space="preserve">. </w:t>
            </w:r>
          </w:p>
          <w:p w:rsidR="00925770" w:rsidRDefault="00925770" w:rsidP="00A53D0F">
            <w:pPr>
              <w:numPr>
                <w:ilvl w:val="0"/>
                <w:numId w:val="3"/>
              </w:numPr>
              <w:spacing w:before="120" w:after="120"/>
              <w:ind w:left="357" w:hanging="357"/>
              <w:rPr>
                <w:rFonts w:ascii="Arial" w:hAnsi="Arial" w:cs="Arial"/>
                <w:sz w:val="20"/>
                <w:szCs w:val="20"/>
              </w:rPr>
            </w:pPr>
            <w:r w:rsidRPr="00925770">
              <w:rPr>
                <w:rFonts w:ascii="Arial" w:hAnsi="Arial" w:cs="Arial"/>
                <w:sz w:val="20"/>
                <w:szCs w:val="20"/>
              </w:rPr>
              <w:t>Also about education, educating consumers so they don’t think SG is this new thing that is coming.  It has been coming for years.  Need to stop talking about SG as different.  Consumers need to realize that incorporating SG is just the way LDCs are doing business</w:t>
            </w:r>
            <w:r w:rsidR="000558A3">
              <w:rPr>
                <w:rFonts w:ascii="Arial" w:hAnsi="Arial" w:cs="Arial"/>
                <w:sz w:val="20"/>
                <w:szCs w:val="20"/>
              </w:rPr>
              <w:t xml:space="preserve">. </w:t>
            </w:r>
          </w:p>
        </w:tc>
      </w:tr>
      <w:tr w:rsidR="00174B0D" w:rsidRPr="00364F07" w:rsidTr="00CF59A5">
        <w:tc>
          <w:tcPr>
            <w:tcW w:w="1560" w:type="dxa"/>
            <w:shd w:val="clear" w:color="auto" w:fill="F2F2F2"/>
          </w:tcPr>
          <w:p w:rsidR="00174B0D" w:rsidRPr="00364F07" w:rsidRDefault="00174B0D" w:rsidP="00CF59A5">
            <w:pPr>
              <w:spacing w:before="120"/>
              <w:rPr>
                <w:rFonts w:ascii="Arial" w:hAnsi="Arial" w:cs="Arial"/>
                <w:b/>
                <w:i/>
                <w:sz w:val="20"/>
                <w:szCs w:val="20"/>
              </w:rPr>
            </w:pPr>
            <w:r w:rsidRPr="00364F07">
              <w:rPr>
                <w:rFonts w:ascii="Arial" w:hAnsi="Arial" w:cs="Arial"/>
                <w:b/>
                <w:i/>
                <w:sz w:val="20"/>
                <w:szCs w:val="20"/>
              </w:rPr>
              <w:lastRenderedPageBreak/>
              <w:t>Consumer Groups</w:t>
            </w:r>
          </w:p>
        </w:tc>
        <w:tc>
          <w:tcPr>
            <w:tcW w:w="7908" w:type="dxa"/>
            <w:shd w:val="clear" w:color="auto" w:fill="DBE5F1"/>
          </w:tcPr>
          <w:p w:rsidR="00BA5B76" w:rsidRDefault="00BA5B76" w:rsidP="00A53D0F">
            <w:pPr>
              <w:numPr>
                <w:ilvl w:val="0"/>
                <w:numId w:val="3"/>
              </w:numPr>
              <w:spacing w:before="120" w:after="120"/>
              <w:ind w:left="357" w:hanging="357"/>
              <w:rPr>
                <w:rFonts w:ascii="Arial" w:hAnsi="Arial" w:cs="Arial"/>
                <w:sz w:val="20"/>
                <w:szCs w:val="20"/>
                <w:lang w:val="en-CA"/>
              </w:rPr>
            </w:pPr>
            <w:r w:rsidRPr="00BA5B76">
              <w:rPr>
                <w:rFonts w:ascii="Arial" w:hAnsi="Arial" w:cs="Arial"/>
                <w:sz w:val="20"/>
                <w:szCs w:val="20"/>
                <w:lang w:val="en-CA"/>
              </w:rPr>
              <w:t xml:space="preserve">SG, why aren’t we seeing more applications in Ontario?  We’re considered a leader in SG, but not seeing the applications.  </w:t>
            </w:r>
          </w:p>
          <w:p w:rsidR="009626CF" w:rsidRDefault="009626CF" w:rsidP="00A53D0F">
            <w:pPr>
              <w:numPr>
                <w:ilvl w:val="0"/>
                <w:numId w:val="3"/>
              </w:numPr>
              <w:spacing w:before="120" w:after="120"/>
              <w:ind w:left="357" w:hanging="357"/>
              <w:rPr>
                <w:rFonts w:ascii="Arial" w:hAnsi="Arial" w:cs="Arial"/>
                <w:sz w:val="20"/>
                <w:szCs w:val="20"/>
                <w:lang w:val="en-CA"/>
              </w:rPr>
            </w:pPr>
            <w:r w:rsidRPr="009626CF">
              <w:rPr>
                <w:rFonts w:ascii="Arial" w:hAnsi="Arial" w:cs="Arial"/>
                <w:sz w:val="20"/>
                <w:szCs w:val="20"/>
                <w:lang w:val="en-CA"/>
              </w:rPr>
              <w:t>Get a lot of comments on “we can’t connect to the grid”.  Paris has electric vehicle charging systems within the city.  How did they do this without problems, when their infrastruc</w:t>
            </w:r>
            <w:r w:rsidR="000558A3">
              <w:rPr>
                <w:rFonts w:ascii="Arial" w:hAnsi="Arial" w:cs="Arial"/>
                <w:sz w:val="20"/>
                <w:szCs w:val="20"/>
                <w:lang w:val="en-CA"/>
              </w:rPr>
              <w:t xml:space="preserve">ture is a lot older than </w:t>
            </w:r>
            <w:proofErr w:type="gramStart"/>
            <w:r w:rsidR="000558A3">
              <w:rPr>
                <w:rFonts w:ascii="Arial" w:hAnsi="Arial" w:cs="Arial"/>
                <w:sz w:val="20"/>
                <w:szCs w:val="20"/>
                <w:lang w:val="en-CA"/>
              </w:rPr>
              <w:t>ours.</w:t>
            </w:r>
            <w:proofErr w:type="gramEnd"/>
            <w:r w:rsidR="000558A3">
              <w:rPr>
                <w:rFonts w:ascii="Arial" w:hAnsi="Arial" w:cs="Arial"/>
                <w:sz w:val="20"/>
                <w:szCs w:val="20"/>
                <w:lang w:val="en-CA"/>
              </w:rPr>
              <w:t xml:space="preserve"> </w:t>
            </w:r>
            <w:r w:rsidRPr="009626CF">
              <w:rPr>
                <w:rFonts w:ascii="Arial" w:hAnsi="Arial" w:cs="Arial"/>
                <w:sz w:val="20"/>
                <w:szCs w:val="20"/>
                <w:lang w:val="en-CA"/>
              </w:rPr>
              <w:t xml:space="preserve">Connection is not a technical issue so </w:t>
            </w:r>
            <w:proofErr w:type="gramStart"/>
            <w:r w:rsidRPr="009626CF">
              <w:rPr>
                <w:rFonts w:ascii="Arial" w:hAnsi="Arial" w:cs="Arial"/>
                <w:sz w:val="20"/>
                <w:szCs w:val="20"/>
                <w:lang w:val="en-CA"/>
              </w:rPr>
              <w:t>much,</w:t>
            </w:r>
            <w:proofErr w:type="gramEnd"/>
            <w:r w:rsidRPr="009626CF">
              <w:rPr>
                <w:rFonts w:ascii="Arial" w:hAnsi="Arial" w:cs="Arial"/>
                <w:sz w:val="20"/>
                <w:szCs w:val="20"/>
                <w:lang w:val="en-CA"/>
              </w:rPr>
              <w:t xml:space="preserve"> it’s more of a business issue</w:t>
            </w:r>
            <w:r w:rsidR="000558A3">
              <w:rPr>
                <w:rFonts w:ascii="Arial" w:hAnsi="Arial" w:cs="Arial"/>
                <w:sz w:val="20"/>
                <w:szCs w:val="20"/>
                <w:lang w:val="en-CA"/>
              </w:rPr>
              <w:t xml:space="preserve">. </w:t>
            </w:r>
          </w:p>
          <w:p w:rsidR="009626CF" w:rsidRPr="009626CF" w:rsidRDefault="009626CF" w:rsidP="00A53D0F">
            <w:pPr>
              <w:pStyle w:val="ListParagraph"/>
              <w:numPr>
                <w:ilvl w:val="0"/>
                <w:numId w:val="3"/>
              </w:numPr>
              <w:spacing w:before="120" w:after="120"/>
              <w:ind w:left="357" w:hanging="357"/>
              <w:contextualSpacing w:val="0"/>
              <w:rPr>
                <w:rFonts w:ascii="Arial" w:hAnsi="Arial" w:cs="Arial"/>
                <w:sz w:val="20"/>
                <w:szCs w:val="20"/>
                <w:lang w:val="en-CA"/>
              </w:rPr>
            </w:pPr>
            <w:r w:rsidRPr="009626CF">
              <w:rPr>
                <w:rFonts w:ascii="Arial" w:hAnsi="Arial" w:cs="Arial"/>
                <w:sz w:val="20"/>
                <w:szCs w:val="20"/>
                <w:lang w:val="en-CA"/>
              </w:rPr>
              <w:t>The inclusion of the SG in the rate setting with no distinction is a good step forward that we support.  Continuing to see SG move forward and incorporated into every day planning is important</w:t>
            </w:r>
          </w:p>
          <w:p w:rsidR="000B1EBE" w:rsidRPr="000B1EBE" w:rsidRDefault="000B1EBE" w:rsidP="00A53D0F">
            <w:pPr>
              <w:pStyle w:val="ListParagraph"/>
              <w:numPr>
                <w:ilvl w:val="0"/>
                <w:numId w:val="3"/>
              </w:numPr>
              <w:spacing w:before="120" w:after="120"/>
              <w:ind w:left="357" w:hanging="357"/>
              <w:contextualSpacing w:val="0"/>
              <w:rPr>
                <w:rFonts w:ascii="Arial" w:hAnsi="Arial" w:cs="Arial"/>
                <w:sz w:val="20"/>
                <w:szCs w:val="20"/>
                <w:lang w:val="en-CA"/>
              </w:rPr>
            </w:pPr>
            <w:r w:rsidRPr="000B1EBE">
              <w:rPr>
                <w:rFonts w:ascii="Arial" w:hAnsi="Arial" w:cs="Arial"/>
                <w:sz w:val="20"/>
                <w:szCs w:val="20"/>
                <w:lang w:val="en-CA"/>
              </w:rPr>
              <w:t xml:space="preserve">Happy about what the board has said about BTM.  Blurring of T&amp;D is real.  If you look at it from a high level, the ability of the RRFE to get better integrated geographic planning will include a blurring of T&amp;D.  In terms of SG investments being treated as normal investment, have a couple of problems.  Don’t know what a SG is, have a good idea about what pieces are and what it might do, don’t know if you can define it.  If I was to think about where to go with filing requirements; don’t allow reinvestment in technologies that don’t work with SG.  </w:t>
            </w:r>
            <w:proofErr w:type="spellStart"/>
            <w:r w:rsidRPr="000B1EBE">
              <w:rPr>
                <w:rFonts w:ascii="Arial" w:hAnsi="Arial" w:cs="Arial"/>
                <w:sz w:val="20"/>
                <w:szCs w:val="20"/>
                <w:lang w:val="en-CA"/>
              </w:rPr>
              <w:t>Reclosers</w:t>
            </w:r>
            <w:proofErr w:type="spellEnd"/>
            <w:r w:rsidRPr="000B1EBE">
              <w:rPr>
                <w:rFonts w:ascii="Arial" w:hAnsi="Arial" w:cs="Arial"/>
                <w:sz w:val="20"/>
                <w:szCs w:val="20"/>
                <w:lang w:val="en-CA"/>
              </w:rPr>
              <w:t xml:space="preserve"> etc. which will not support storage, DG, etc., you don’t support these investments because they don’t support SG.</w:t>
            </w:r>
          </w:p>
          <w:p w:rsidR="000B1EBE" w:rsidRPr="000B1EBE" w:rsidRDefault="000B1EBE" w:rsidP="00A53D0F">
            <w:pPr>
              <w:pStyle w:val="ListParagraph"/>
              <w:numPr>
                <w:ilvl w:val="0"/>
                <w:numId w:val="3"/>
              </w:numPr>
              <w:spacing w:before="120" w:after="120"/>
              <w:ind w:left="357" w:hanging="357"/>
              <w:contextualSpacing w:val="0"/>
              <w:rPr>
                <w:rFonts w:ascii="Arial" w:hAnsi="Arial" w:cs="Arial"/>
                <w:sz w:val="20"/>
                <w:szCs w:val="20"/>
                <w:lang w:val="en-CA"/>
              </w:rPr>
            </w:pPr>
            <w:r w:rsidRPr="000B1EBE">
              <w:rPr>
                <w:rFonts w:ascii="Arial" w:hAnsi="Arial" w:cs="Arial"/>
                <w:sz w:val="20"/>
                <w:szCs w:val="20"/>
                <w:lang w:val="en-CA"/>
              </w:rPr>
              <w:t>5 year planning horizon. There is some comfort in there about doing some planning. The need for new line stations and so on is seen by utilities as evolving over time. It is not necessarily easy to future proof your plans, but if you can make them adaptive, you are doing better</w:t>
            </w:r>
          </w:p>
          <w:p w:rsidR="009626CF" w:rsidRDefault="000B1EBE" w:rsidP="00A53D0F">
            <w:pPr>
              <w:numPr>
                <w:ilvl w:val="0"/>
                <w:numId w:val="3"/>
              </w:numPr>
              <w:spacing w:before="120" w:after="120"/>
              <w:ind w:left="357" w:hanging="357"/>
              <w:rPr>
                <w:rFonts w:ascii="Arial" w:hAnsi="Arial" w:cs="Arial"/>
                <w:sz w:val="20"/>
                <w:szCs w:val="20"/>
                <w:lang w:val="en-CA"/>
              </w:rPr>
            </w:pPr>
            <w:r w:rsidRPr="000B1EBE">
              <w:rPr>
                <w:rFonts w:ascii="Arial" w:hAnsi="Arial" w:cs="Arial"/>
                <w:sz w:val="20"/>
                <w:szCs w:val="20"/>
                <w:lang w:val="en-CA"/>
              </w:rPr>
              <w:t xml:space="preserve">Key to respect customer value and to ensure it is not forgotten.  Particularly with respect to your time horizon.  Market can’t wait for OEB’s timeline, especially with behind the meter.  Support of having a clear demarcation at the meter.  Great to have this, but also great to LDCs cooperation with this.  Important that we have agreement here, but we need agreement everywhere.  Importance to make sure that transparency is protected.  Need to ensure we don’t pick a winner.  Green button idea is fine, but we should not forget the fact that the customer needs to have independent and direct access to their information.  The OEB should ensure ultimate access to data is protected.  Importance to have barriers removed, but it </w:t>
            </w:r>
            <w:r w:rsidRPr="000B1EBE">
              <w:rPr>
                <w:rFonts w:ascii="Arial" w:hAnsi="Arial" w:cs="Arial"/>
                <w:sz w:val="20"/>
                <w:szCs w:val="20"/>
                <w:lang w:val="en-CA"/>
              </w:rPr>
              <w:lastRenderedPageBreak/>
              <w:t xml:space="preserve">has to be completed with a practical resolution process. The speed of innovation is not compatible with the OEB timeline or process and the OEB should address this.  Waiting for 3 to 5 years is too long. If we can only raise an issue at a rate hearing, this will be too slow.  How can these issues be resolved in </w:t>
            </w:r>
            <w:r w:rsidR="00823F53">
              <w:rPr>
                <w:rFonts w:ascii="Arial" w:hAnsi="Arial" w:cs="Arial"/>
                <w:sz w:val="20"/>
                <w:szCs w:val="20"/>
                <w:lang w:val="en-CA"/>
              </w:rPr>
              <w:t>a cooperative way without issue?</w:t>
            </w:r>
          </w:p>
          <w:p w:rsidR="00925770" w:rsidRDefault="00925770" w:rsidP="00A53D0F">
            <w:pPr>
              <w:numPr>
                <w:ilvl w:val="0"/>
                <w:numId w:val="3"/>
              </w:numPr>
              <w:spacing w:before="120" w:after="120"/>
              <w:ind w:left="357" w:hanging="357"/>
              <w:rPr>
                <w:rFonts w:ascii="Arial" w:hAnsi="Arial" w:cs="Arial"/>
                <w:sz w:val="20"/>
                <w:szCs w:val="20"/>
                <w:lang w:val="en-CA"/>
              </w:rPr>
            </w:pPr>
            <w:r w:rsidRPr="00925770">
              <w:rPr>
                <w:rFonts w:ascii="Arial" w:hAnsi="Arial" w:cs="Arial"/>
                <w:sz w:val="20"/>
                <w:szCs w:val="20"/>
                <w:lang w:val="en-CA"/>
              </w:rPr>
              <w:t>Regarding Board’s objective of promoting SG.  Putting in an adder for energy efficiency projects because of the longer term nature and to consider additional benefits.</w:t>
            </w:r>
          </w:p>
          <w:p w:rsidR="00925770" w:rsidRDefault="00925770" w:rsidP="00A53D0F">
            <w:pPr>
              <w:numPr>
                <w:ilvl w:val="0"/>
                <w:numId w:val="3"/>
              </w:numPr>
              <w:spacing w:before="120" w:after="120"/>
              <w:ind w:left="357" w:hanging="357"/>
              <w:rPr>
                <w:rFonts w:ascii="Arial" w:hAnsi="Arial" w:cs="Arial"/>
                <w:sz w:val="20"/>
                <w:szCs w:val="20"/>
                <w:lang w:val="en-CA"/>
              </w:rPr>
            </w:pPr>
            <w:r w:rsidRPr="00925770">
              <w:rPr>
                <w:rFonts w:ascii="Arial" w:hAnsi="Arial" w:cs="Arial"/>
                <w:sz w:val="20"/>
                <w:szCs w:val="20"/>
                <w:lang w:val="en-CA"/>
              </w:rPr>
              <w:t xml:space="preserve">These energy efficiency companies overcame the challenge </w:t>
            </w:r>
            <w:r>
              <w:rPr>
                <w:rFonts w:ascii="Arial" w:hAnsi="Arial" w:cs="Arial"/>
                <w:sz w:val="20"/>
                <w:szCs w:val="20"/>
                <w:lang w:val="en-CA"/>
              </w:rPr>
              <w:t xml:space="preserve">(of quantifying environmental benefits) </w:t>
            </w:r>
            <w:r w:rsidRPr="00925770">
              <w:rPr>
                <w:rFonts w:ascii="Arial" w:hAnsi="Arial" w:cs="Arial"/>
                <w:sz w:val="20"/>
                <w:szCs w:val="20"/>
                <w:lang w:val="en-CA"/>
              </w:rPr>
              <w:t xml:space="preserve">by adding </w:t>
            </w:r>
            <w:proofErr w:type="gramStart"/>
            <w:r w:rsidRPr="00925770">
              <w:rPr>
                <w:rFonts w:ascii="Arial" w:hAnsi="Arial" w:cs="Arial"/>
                <w:sz w:val="20"/>
                <w:szCs w:val="20"/>
                <w:lang w:val="en-CA"/>
              </w:rPr>
              <w:t>a</w:t>
            </w:r>
            <w:proofErr w:type="gramEnd"/>
            <w:r w:rsidRPr="00925770">
              <w:rPr>
                <w:rFonts w:ascii="Arial" w:hAnsi="Arial" w:cs="Arial"/>
                <w:sz w:val="20"/>
                <w:szCs w:val="20"/>
                <w:lang w:val="en-CA"/>
              </w:rPr>
              <w:t xml:space="preserve"> adder on the business case in the valuation</w:t>
            </w:r>
            <w:r>
              <w:rPr>
                <w:rFonts w:ascii="Arial" w:hAnsi="Arial" w:cs="Arial"/>
                <w:sz w:val="20"/>
                <w:szCs w:val="20"/>
                <w:lang w:val="en-CA"/>
              </w:rPr>
              <w:t xml:space="preserve">. </w:t>
            </w:r>
          </w:p>
          <w:p w:rsidR="00925770" w:rsidRPr="00A53D0F" w:rsidRDefault="00925770" w:rsidP="00A53D0F">
            <w:pPr>
              <w:pStyle w:val="ListParagraph"/>
              <w:numPr>
                <w:ilvl w:val="0"/>
                <w:numId w:val="3"/>
              </w:numPr>
              <w:spacing w:before="120" w:after="120"/>
              <w:ind w:left="357" w:hanging="357"/>
              <w:contextualSpacing w:val="0"/>
              <w:rPr>
                <w:rFonts w:ascii="Arial" w:hAnsi="Arial" w:cs="Arial"/>
                <w:sz w:val="20"/>
                <w:szCs w:val="20"/>
                <w:lang w:val="en-CA"/>
              </w:rPr>
            </w:pPr>
            <w:r w:rsidRPr="00925770">
              <w:rPr>
                <w:rFonts w:ascii="Arial" w:hAnsi="Arial" w:cs="Arial"/>
                <w:sz w:val="20"/>
                <w:szCs w:val="20"/>
                <w:lang w:val="en-CA"/>
              </w:rPr>
              <w:t>Unless we are talking about environmental benefits that sit outside of…energy consumption itself should be a good metric of how this is calculated.  Kwh are easy to measure</w:t>
            </w:r>
          </w:p>
        </w:tc>
      </w:tr>
      <w:tr w:rsidR="009626CF" w:rsidRPr="00364F07" w:rsidTr="00CF59A5">
        <w:tc>
          <w:tcPr>
            <w:tcW w:w="1560" w:type="dxa"/>
            <w:shd w:val="clear" w:color="auto" w:fill="F2F2F2"/>
          </w:tcPr>
          <w:p w:rsidR="009626CF" w:rsidRPr="00364F07" w:rsidRDefault="009626CF" w:rsidP="00CF59A5">
            <w:pPr>
              <w:spacing w:before="120"/>
              <w:rPr>
                <w:rFonts w:ascii="Arial" w:hAnsi="Arial" w:cs="Arial"/>
                <w:b/>
                <w:i/>
                <w:sz w:val="20"/>
                <w:szCs w:val="20"/>
              </w:rPr>
            </w:pPr>
            <w:r>
              <w:rPr>
                <w:rFonts w:ascii="Arial" w:hAnsi="Arial" w:cs="Arial"/>
                <w:b/>
                <w:i/>
                <w:sz w:val="20"/>
                <w:szCs w:val="20"/>
              </w:rPr>
              <w:lastRenderedPageBreak/>
              <w:t>Agencies</w:t>
            </w:r>
          </w:p>
        </w:tc>
        <w:tc>
          <w:tcPr>
            <w:tcW w:w="7908" w:type="dxa"/>
            <w:shd w:val="clear" w:color="auto" w:fill="DBE5F1"/>
          </w:tcPr>
          <w:p w:rsidR="000B1EBE" w:rsidRPr="000B1EBE" w:rsidRDefault="000B1EBE" w:rsidP="00A53D0F">
            <w:pPr>
              <w:pStyle w:val="ListParagraph"/>
              <w:numPr>
                <w:ilvl w:val="0"/>
                <w:numId w:val="3"/>
              </w:numPr>
              <w:spacing w:before="120" w:after="120"/>
              <w:ind w:left="357" w:hanging="357"/>
              <w:contextualSpacing w:val="0"/>
              <w:rPr>
                <w:rFonts w:ascii="Arial" w:hAnsi="Arial" w:cs="Arial"/>
                <w:sz w:val="20"/>
                <w:szCs w:val="20"/>
                <w:lang w:val="en-CA"/>
              </w:rPr>
            </w:pPr>
            <w:r w:rsidRPr="000B1EBE">
              <w:rPr>
                <w:rFonts w:ascii="Arial" w:hAnsi="Arial" w:cs="Arial"/>
                <w:sz w:val="20"/>
                <w:szCs w:val="20"/>
                <w:lang w:val="en-CA"/>
              </w:rPr>
              <w:t xml:space="preserve">Like the idea making it clear what the utilities behind the meter and so on.  Aligns with the safety regulations on which regulation is applied where.  Thinking more about </w:t>
            </w:r>
            <w:proofErr w:type="spellStart"/>
            <w:r w:rsidRPr="000B1EBE">
              <w:rPr>
                <w:rFonts w:ascii="Arial" w:hAnsi="Arial" w:cs="Arial"/>
                <w:sz w:val="20"/>
                <w:szCs w:val="20"/>
                <w:lang w:val="en-CA"/>
              </w:rPr>
              <w:t>cybersecurity</w:t>
            </w:r>
            <w:proofErr w:type="spellEnd"/>
            <w:r w:rsidRPr="000B1EBE">
              <w:rPr>
                <w:rFonts w:ascii="Arial" w:hAnsi="Arial" w:cs="Arial"/>
                <w:sz w:val="20"/>
                <w:szCs w:val="20"/>
                <w:lang w:val="en-CA"/>
              </w:rPr>
              <w:t xml:space="preserve"> and how to include that.  Our idea is that we can approach it similar to safety standards.</w:t>
            </w:r>
          </w:p>
          <w:p w:rsidR="009626CF" w:rsidRDefault="000B1EBE" w:rsidP="00A53D0F">
            <w:pPr>
              <w:numPr>
                <w:ilvl w:val="0"/>
                <w:numId w:val="3"/>
              </w:numPr>
              <w:spacing w:before="120" w:after="120"/>
              <w:ind w:left="357" w:hanging="357"/>
              <w:rPr>
                <w:rFonts w:ascii="Arial" w:hAnsi="Arial" w:cs="Arial"/>
                <w:sz w:val="20"/>
                <w:szCs w:val="20"/>
                <w:lang w:val="en-CA"/>
              </w:rPr>
            </w:pPr>
            <w:r w:rsidRPr="000B1EBE">
              <w:rPr>
                <w:rFonts w:ascii="Arial" w:hAnsi="Arial" w:cs="Arial"/>
                <w:sz w:val="20"/>
                <w:szCs w:val="20"/>
                <w:lang w:val="en-CA"/>
              </w:rPr>
              <w:t>Support of no distinction between SG and other investments.  Approach going forward, reminder that we should be careful not to be too prescriptive.  Guiding principles are important, but all utilities across the province are different.  Barriers to SG development: because there are so many ways to define what SG is, think it is important that for the OEB to achieve objectives we need to understand what the barriers are on the individual paths, identifying unique barriers.  One of barriers will be culture change.  Supportive of 5 year planning for rate cases for LDCs.  Experience of putting investments into individual buckets…may find that one investment would fit in different buckets for different LDCs depending on the objectives.  An unknown in this process is the Distribution Sector Panel; this process may be impacted by this</w:t>
            </w:r>
          </w:p>
          <w:p w:rsidR="00925770" w:rsidRPr="00BA5B76" w:rsidRDefault="00925770" w:rsidP="00A53D0F">
            <w:pPr>
              <w:numPr>
                <w:ilvl w:val="0"/>
                <w:numId w:val="3"/>
              </w:numPr>
              <w:spacing w:before="120" w:after="120"/>
              <w:ind w:left="357" w:hanging="357"/>
              <w:rPr>
                <w:rFonts w:ascii="Arial" w:hAnsi="Arial" w:cs="Arial"/>
                <w:sz w:val="20"/>
                <w:szCs w:val="20"/>
                <w:lang w:val="en-CA"/>
              </w:rPr>
            </w:pPr>
            <w:r w:rsidRPr="00925770">
              <w:rPr>
                <w:rFonts w:ascii="Arial" w:hAnsi="Arial" w:cs="Arial"/>
                <w:sz w:val="20"/>
                <w:szCs w:val="20"/>
                <w:lang w:val="en-CA"/>
              </w:rPr>
              <w:t xml:space="preserve">There are no standards for measuring environmental </w:t>
            </w:r>
            <w:r>
              <w:rPr>
                <w:rFonts w:ascii="Arial" w:hAnsi="Arial" w:cs="Arial"/>
                <w:sz w:val="20"/>
                <w:szCs w:val="20"/>
                <w:lang w:val="en-CA"/>
              </w:rPr>
              <w:t xml:space="preserve">benefits. </w:t>
            </w:r>
            <w:r w:rsidRPr="00925770">
              <w:rPr>
                <w:rFonts w:ascii="Arial" w:hAnsi="Arial" w:cs="Arial"/>
                <w:sz w:val="20"/>
                <w:szCs w:val="20"/>
                <w:lang w:val="en-CA"/>
              </w:rPr>
              <w:t>And interveners will need to understand the rules that distributors have been asked to play by</w:t>
            </w:r>
            <w:r>
              <w:rPr>
                <w:rFonts w:ascii="Arial" w:hAnsi="Arial" w:cs="Arial"/>
                <w:sz w:val="20"/>
                <w:szCs w:val="20"/>
                <w:lang w:val="en-CA"/>
              </w:rPr>
              <w:t xml:space="preserve">. </w:t>
            </w:r>
          </w:p>
        </w:tc>
      </w:tr>
    </w:tbl>
    <w:p w:rsidR="00174B0D" w:rsidRDefault="00174B0D" w:rsidP="00AC6FDB">
      <w:pPr>
        <w:pStyle w:val="NoSpacing"/>
        <w:rPr>
          <w:rFonts w:ascii="Arial" w:hAnsi="Arial" w:cs="Arial"/>
          <w:b/>
          <w:i/>
          <w:color w:val="1F497D"/>
          <w:sz w:val="22"/>
        </w:rPr>
      </w:pPr>
    </w:p>
    <w:p w:rsidR="00174B0D" w:rsidRDefault="00174B0D" w:rsidP="008B437B">
      <w:pPr>
        <w:rPr>
          <w:rFonts w:ascii="Arial" w:hAnsi="Arial" w:cs="Arial"/>
          <w:b/>
          <w:i/>
          <w:color w:val="1F497D"/>
        </w:rPr>
      </w:pPr>
    </w:p>
    <w:p w:rsidR="008A1317" w:rsidRDefault="008A1317">
      <w:pPr>
        <w:rPr>
          <w:rFonts w:ascii="Arial" w:hAnsi="Arial" w:cs="Arial"/>
          <w:b/>
          <w:i/>
          <w:color w:val="1F497D"/>
        </w:rPr>
      </w:pPr>
      <w:r>
        <w:rPr>
          <w:rFonts w:ascii="Arial" w:hAnsi="Arial" w:cs="Arial"/>
          <w:b/>
          <w:i/>
          <w:color w:val="1F497D"/>
        </w:rPr>
        <w:br w:type="page"/>
      </w:r>
    </w:p>
    <w:p w:rsidR="00174B0D" w:rsidRDefault="002F4A79" w:rsidP="008B437B">
      <w:pPr>
        <w:rPr>
          <w:rFonts w:ascii="Arial" w:hAnsi="Arial" w:cs="Arial"/>
          <w:b/>
          <w:i/>
          <w:color w:val="1F497D"/>
        </w:rPr>
      </w:pPr>
      <w:r>
        <w:rPr>
          <w:rFonts w:ascii="Arial" w:hAnsi="Arial" w:cs="Arial"/>
          <w:b/>
          <w:i/>
          <w:color w:val="1F497D"/>
        </w:rPr>
        <w:lastRenderedPageBreak/>
        <w:t>Conceptual Framework for Regulatory Documents</w:t>
      </w:r>
    </w:p>
    <w:p w:rsidR="00174B0D" w:rsidRDefault="00174B0D" w:rsidP="008B437B">
      <w:pPr>
        <w:spacing w:after="60"/>
        <w:rPr>
          <w:rFonts w:ascii="Arial" w:hAnsi="Arial" w:cs="Arial"/>
          <w:b/>
          <w:i/>
          <w:color w:val="1F497D"/>
        </w:rPr>
      </w:pPr>
    </w:p>
    <w:p w:rsidR="00174B0D" w:rsidRPr="008B437B" w:rsidRDefault="00174B0D" w:rsidP="008B437B">
      <w:pPr>
        <w:spacing w:after="240"/>
        <w:rPr>
          <w:rFonts w:ascii="Arial" w:hAnsi="Arial" w:cs="Arial"/>
          <w:b/>
          <w:i/>
        </w:rPr>
      </w:pPr>
      <w:r w:rsidRPr="00B12757">
        <w:rPr>
          <w:rFonts w:ascii="Arial" w:hAnsi="Arial" w:cs="Arial"/>
          <w:b/>
          <w:color w:val="1F497D"/>
          <w:sz w:val="22"/>
        </w:rPr>
        <w:t>Key observations from the discussion:</w:t>
      </w:r>
    </w:p>
    <w:p w:rsidR="00823F53" w:rsidRDefault="00823F53" w:rsidP="002F4A79">
      <w:pPr>
        <w:numPr>
          <w:ilvl w:val="0"/>
          <w:numId w:val="66"/>
        </w:numPr>
        <w:spacing w:after="120"/>
        <w:rPr>
          <w:rFonts w:ascii="Arial" w:hAnsi="Arial" w:cs="Arial"/>
          <w:sz w:val="22"/>
        </w:rPr>
      </w:pPr>
      <w:r>
        <w:rPr>
          <w:rFonts w:ascii="Arial" w:hAnsi="Arial" w:cs="Arial"/>
          <w:sz w:val="22"/>
        </w:rPr>
        <w:t>A challenge for the group is how to demonstrate (</w:t>
      </w:r>
      <w:r w:rsidR="00834C50">
        <w:rPr>
          <w:rFonts w:ascii="Arial" w:hAnsi="Arial" w:cs="Arial"/>
          <w:sz w:val="22"/>
        </w:rPr>
        <w:t>whether quantitatively or qualitatively)</w:t>
      </w:r>
      <w:r>
        <w:rPr>
          <w:rFonts w:ascii="Arial" w:hAnsi="Arial" w:cs="Arial"/>
          <w:sz w:val="22"/>
        </w:rPr>
        <w:t xml:space="preserve"> benefits of smart grid proposals, including those </w:t>
      </w:r>
      <w:r w:rsidR="00834C50">
        <w:rPr>
          <w:rFonts w:ascii="Arial" w:hAnsi="Arial" w:cs="Arial"/>
          <w:sz w:val="22"/>
        </w:rPr>
        <w:t xml:space="preserve">benefits </w:t>
      </w:r>
      <w:r>
        <w:rPr>
          <w:rFonts w:ascii="Arial" w:hAnsi="Arial" w:cs="Arial"/>
          <w:sz w:val="22"/>
        </w:rPr>
        <w:t xml:space="preserve">that accrue to parties other than the distributor and the customers within its service area. </w:t>
      </w:r>
      <w:r w:rsidR="00834C50">
        <w:rPr>
          <w:rFonts w:ascii="Arial" w:hAnsi="Arial" w:cs="Arial"/>
          <w:sz w:val="22"/>
        </w:rPr>
        <w:t xml:space="preserve">To what degree should demonstration of benefits be standardized among all distributors? </w:t>
      </w:r>
    </w:p>
    <w:p w:rsidR="00174B0D" w:rsidRPr="008B437B" w:rsidRDefault="00823F53" w:rsidP="002F4A79">
      <w:pPr>
        <w:numPr>
          <w:ilvl w:val="0"/>
          <w:numId w:val="66"/>
        </w:numPr>
        <w:spacing w:after="120"/>
        <w:rPr>
          <w:rFonts w:ascii="Arial" w:hAnsi="Arial" w:cs="Arial"/>
          <w:sz w:val="22"/>
        </w:rPr>
      </w:pPr>
      <w:r>
        <w:rPr>
          <w:rFonts w:ascii="Arial" w:hAnsi="Arial" w:cs="Arial"/>
          <w:sz w:val="22"/>
        </w:rPr>
        <w:t xml:space="preserve">There are concerns about balancing the need to allow for variation among distributors (e.g. smart grid will mean different things to different distributors depending on the needs of their customers and the current state of their networks) while still facilitating some degree of consistency where appropriate for customers across Ontario. </w:t>
      </w:r>
    </w:p>
    <w:p w:rsidR="00174B0D" w:rsidRDefault="00174B0D" w:rsidP="008B437B">
      <w:pPr>
        <w:spacing w:after="60"/>
        <w:rPr>
          <w:rFonts w:ascii="Arial" w:hAnsi="Arial" w:cs="Arial"/>
          <w:b/>
          <w:color w:val="1F497D"/>
          <w:sz w:val="22"/>
        </w:rPr>
      </w:pPr>
    </w:p>
    <w:p w:rsidR="00174B0D" w:rsidRPr="00B12757" w:rsidRDefault="00174B0D" w:rsidP="008E7A0F">
      <w:pPr>
        <w:spacing w:after="120"/>
        <w:rPr>
          <w:rFonts w:ascii="Arial" w:hAnsi="Arial" w:cs="Arial"/>
          <w:b/>
          <w:color w:val="1F497D"/>
          <w:sz w:val="22"/>
        </w:rPr>
      </w:pPr>
      <w:r w:rsidRPr="00B12757">
        <w:rPr>
          <w:rFonts w:ascii="Arial" w:hAnsi="Arial" w:cs="Arial"/>
          <w:b/>
          <w:color w:val="1F497D"/>
          <w:sz w:val="22"/>
        </w:rPr>
        <w:t>Discussion notes: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7908"/>
      </w:tblGrid>
      <w:tr w:rsidR="00925770" w:rsidRPr="00233F08" w:rsidTr="0049507C">
        <w:tc>
          <w:tcPr>
            <w:tcW w:w="1560" w:type="dxa"/>
            <w:shd w:val="clear" w:color="auto" w:fill="F2F2F2"/>
          </w:tcPr>
          <w:p w:rsidR="00925770" w:rsidRPr="00925770" w:rsidRDefault="00925770" w:rsidP="00705222">
            <w:pPr>
              <w:spacing w:before="120"/>
              <w:rPr>
                <w:rFonts w:ascii="Arial" w:hAnsi="Arial" w:cs="Arial"/>
                <w:b/>
                <w:i/>
                <w:sz w:val="20"/>
              </w:rPr>
            </w:pPr>
            <w:r>
              <w:rPr>
                <w:rFonts w:ascii="Arial" w:hAnsi="Arial" w:cs="Arial"/>
                <w:b/>
                <w:i/>
                <w:sz w:val="20"/>
              </w:rPr>
              <w:t>Utilities</w:t>
            </w:r>
          </w:p>
        </w:tc>
        <w:tc>
          <w:tcPr>
            <w:tcW w:w="7908" w:type="dxa"/>
            <w:shd w:val="clear" w:color="auto" w:fill="DBE5F1"/>
          </w:tcPr>
          <w:p w:rsidR="00925770" w:rsidRDefault="00BA014A" w:rsidP="00A53D0F">
            <w:pPr>
              <w:numPr>
                <w:ilvl w:val="0"/>
                <w:numId w:val="3"/>
              </w:numPr>
              <w:spacing w:before="120" w:after="120"/>
              <w:ind w:left="357" w:hanging="357"/>
              <w:rPr>
                <w:rFonts w:ascii="Arial" w:hAnsi="Arial" w:cs="Arial"/>
                <w:sz w:val="20"/>
                <w:szCs w:val="20"/>
                <w:lang w:val="en-CA"/>
              </w:rPr>
            </w:pPr>
            <w:r w:rsidRPr="00BA014A">
              <w:rPr>
                <w:rFonts w:ascii="Arial" w:hAnsi="Arial" w:cs="Arial"/>
                <w:sz w:val="20"/>
                <w:szCs w:val="20"/>
                <w:lang w:val="en-CA"/>
              </w:rPr>
              <w:t>We just file a basic plan with the recent rate filing.  We are always concerned about the deferral accounts and how they are going to be interpreted.  Having full transparency is very important, including the numbers and the five year plan period.  Until a decision is made on the deferral accounts, there is always going to be that risk.  Guidelines on prudence and suitability</w:t>
            </w:r>
            <w:r>
              <w:rPr>
                <w:rFonts w:ascii="Arial" w:hAnsi="Arial" w:cs="Arial"/>
                <w:sz w:val="20"/>
                <w:szCs w:val="20"/>
                <w:lang w:val="en-CA"/>
              </w:rPr>
              <w:t xml:space="preserve">. </w:t>
            </w:r>
          </w:p>
          <w:p w:rsidR="00BA014A" w:rsidRDefault="00823F53" w:rsidP="00A53D0F">
            <w:pPr>
              <w:numPr>
                <w:ilvl w:val="0"/>
                <w:numId w:val="3"/>
              </w:numPr>
              <w:spacing w:before="120" w:after="120"/>
              <w:ind w:left="357" w:hanging="357"/>
              <w:rPr>
                <w:rFonts w:ascii="Arial" w:hAnsi="Arial" w:cs="Arial"/>
                <w:sz w:val="20"/>
                <w:szCs w:val="20"/>
                <w:lang w:val="en-CA"/>
              </w:rPr>
            </w:pPr>
            <w:r>
              <w:rPr>
                <w:rFonts w:ascii="Arial" w:hAnsi="Arial" w:cs="Arial"/>
                <w:sz w:val="20"/>
                <w:szCs w:val="20"/>
                <w:lang w:val="en-CA"/>
              </w:rPr>
              <w:t>W</w:t>
            </w:r>
            <w:r w:rsidR="00BA014A" w:rsidRPr="00BA014A">
              <w:rPr>
                <w:rFonts w:ascii="Arial" w:hAnsi="Arial" w:cs="Arial"/>
                <w:sz w:val="20"/>
                <w:szCs w:val="20"/>
                <w:lang w:val="en-CA"/>
              </w:rPr>
              <w:t xml:space="preserve">e have been more risk adverse in terms of pilot projects.  Not all utilities are able to accept the same level of risk.  </w:t>
            </w:r>
          </w:p>
          <w:p w:rsidR="00BA014A" w:rsidRPr="00BA014A" w:rsidRDefault="00BA014A" w:rsidP="00A53D0F">
            <w:pPr>
              <w:numPr>
                <w:ilvl w:val="0"/>
                <w:numId w:val="3"/>
              </w:numPr>
              <w:spacing w:before="120" w:after="120"/>
              <w:ind w:left="357" w:hanging="357"/>
              <w:rPr>
                <w:rFonts w:ascii="Arial" w:hAnsi="Arial" w:cs="Arial"/>
                <w:sz w:val="20"/>
                <w:szCs w:val="20"/>
                <w:lang w:val="en-CA"/>
              </w:rPr>
            </w:pPr>
            <w:r w:rsidRPr="00BA014A">
              <w:rPr>
                <w:rFonts w:ascii="Arial" w:hAnsi="Arial" w:cs="Arial"/>
                <w:sz w:val="20"/>
                <w:szCs w:val="20"/>
                <w:lang w:val="en-CA"/>
              </w:rPr>
              <w:t>We have a very clear guideline, we use the benefit cost ratio over the life of the initiative.  If it is &lt;1, then the investment is not undertaken.  This is the first hurdle it needs to pass.  Next is scalability; ensuring that technology can be applied to system.  This is all at the pilot demonstration stages.  Once it proceeds to a level where it applies to whole system, it needs to compete with all other capital projects.  Many times some of the initiatives don’t get completed because of more pressing demands for capital</w:t>
            </w:r>
            <w:r>
              <w:rPr>
                <w:rFonts w:ascii="Arial" w:hAnsi="Arial" w:cs="Arial"/>
                <w:sz w:val="20"/>
                <w:szCs w:val="20"/>
                <w:lang w:val="en-CA"/>
              </w:rPr>
              <w:t>.</w:t>
            </w:r>
            <w:r w:rsidRPr="00BA014A">
              <w:rPr>
                <w:rFonts w:ascii="Arial" w:hAnsi="Arial" w:cs="Arial"/>
                <w:sz w:val="20"/>
                <w:szCs w:val="20"/>
                <w:lang w:val="en-CA"/>
              </w:rPr>
              <w:t xml:space="preserve"> We didn’t have this in house.  We looked at what the larger US utilities were doing.  We had Navigant help us develop the models for benefit-cost valuation.  This CBA covers 80% of technology, but some initiatives won’t be able to be handled by the model, e.g. EVs.  Have a gray area because of the other impacts of these ideas.</w:t>
            </w:r>
          </w:p>
          <w:p w:rsidR="00BA014A" w:rsidRDefault="00BA014A" w:rsidP="00A53D0F">
            <w:pPr>
              <w:numPr>
                <w:ilvl w:val="0"/>
                <w:numId w:val="3"/>
              </w:numPr>
              <w:spacing w:before="120" w:after="120"/>
              <w:ind w:left="357" w:hanging="357"/>
              <w:rPr>
                <w:rFonts w:ascii="Arial" w:hAnsi="Arial" w:cs="Arial"/>
                <w:sz w:val="20"/>
                <w:szCs w:val="20"/>
                <w:lang w:val="en-CA"/>
              </w:rPr>
            </w:pPr>
            <w:r w:rsidRPr="00BA014A">
              <w:rPr>
                <w:rFonts w:ascii="Arial" w:hAnsi="Arial" w:cs="Arial"/>
                <w:sz w:val="20"/>
                <w:szCs w:val="20"/>
                <w:lang w:val="en-CA"/>
              </w:rPr>
              <w:t>Is this a list of projects against objectives?  How do you evaluate, a dollar value?  If this is a multi-year project, are we talking about one list for each year or a multi-year list?</w:t>
            </w:r>
            <w:r>
              <w:rPr>
                <w:rFonts w:ascii="Arial" w:hAnsi="Arial" w:cs="Arial"/>
                <w:sz w:val="20"/>
                <w:szCs w:val="20"/>
                <w:lang w:val="en-CA"/>
              </w:rPr>
              <w:t xml:space="preserve"> </w:t>
            </w:r>
            <w:r w:rsidRPr="00BA014A">
              <w:rPr>
                <w:rFonts w:ascii="Arial" w:hAnsi="Arial" w:cs="Arial"/>
                <w:sz w:val="20"/>
                <w:szCs w:val="20"/>
                <w:lang w:val="en-CA"/>
              </w:rPr>
              <w:t>It is about applying a submission approach that we all agree on</w:t>
            </w:r>
            <w:r>
              <w:rPr>
                <w:rFonts w:ascii="Arial" w:hAnsi="Arial" w:cs="Arial"/>
                <w:sz w:val="20"/>
                <w:szCs w:val="20"/>
                <w:lang w:val="en-CA"/>
              </w:rPr>
              <w:t xml:space="preserve">. . . </w:t>
            </w:r>
          </w:p>
          <w:p w:rsidR="00BA014A" w:rsidRDefault="00BA014A" w:rsidP="00A53D0F">
            <w:pPr>
              <w:numPr>
                <w:ilvl w:val="0"/>
                <w:numId w:val="3"/>
              </w:numPr>
              <w:spacing w:before="120" w:after="120"/>
              <w:ind w:left="357" w:hanging="357"/>
              <w:rPr>
                <w:rFonts w:ascii="Arial" w:hAnsi="Arial" w:cs="Arial"/>
                <w:sz w:val="20"/>
                <w:szCs w:val="20"/>
                <w:lang w:val="en-CA"/>
              </w:rPr>
            </w:pPr>
            <w:r w:rsidRPr="00BA014A">
              <w:rPr>
                <w:rFonts w:ascii="Arial" w:hAnsi="Arial" w:cs="Arial"/>
                <w:sz w:val="20"/>
                <w:szCs w:val="20"/>
                <w:lang w:val="en-CA"/>
              </w:rPr>
              <w:t>Need to have a dollar value for these other objectives.  Need to come up with a CBA in some situations, e.g., level 2 chargers</w:t>
            </w:r>
          </w:p>
          <w:p w:rsidR="00BA014A" w:rsidRDefault="00BA014A" w:rsidP="00A53D0F">
            <w:pPr>
              <w:numPr>
                <w:ilvl w:val="0"/>
                <w:numId w:val="3"/>
              </w:numPr>
              <w:spacing w:before="120" w:after="120"/>
              <w:ind w:left="357" w:hanging="357"/>
              <w:rPr>
                <w:rFonts w:ascii="Arial" w:hAnsi="Arial" w:cs="Arial"/>
                <w:sz w:val="20"/>
                <w:szCs w:val="20"/>
                <w:lang w:val="en-CA"/>
              </w:rPr>
            </w:pPr>
            <w:r w:rsidRPr="00BA014A">
              <w:rPr>
                <w:rFonts w:ascii="Arial" w:hAnsi="Arial" w:cs="Arial"/>
                <w:sz w:val="20"/>
                <w:szCs w:val="20"/>
                <w:lang w:val="en-CA"/>
              </w:rPr>
              <w:t>Strategic value can be assigned to various components, which is based on what the corporation thinks it is important.  Can’t just give SG a weighting of a certain amount, needs to be aligned with corporate strategy.</w:t>
            </w:r>
          </w:p>
          <w:p w:rsidR="00BA014A" w:rsidRPr="00BA014A" w:rsidRDefault="00BA014A" w:rsidP="00A53D0F">
            <w:pPr>
              <w:pStyle w:val="ListParagraph"/>
              <w:numPr>
                <w:ilvl w:val="0"/>
                <w:numId w:val="3"/>
              </w:numPr>
              <w:spacing w:before="120" w:after="120"/>
              <w:ind w:left="357" w:hanging="357"/>
              <w:contextualSpacing w:val="0"/>
              <w:rPr>
                <w:rFonts w:ascii="Arial" w:hAnsi="Arial" w:cs="Arial"/>
                <w:sz w:val="20"/>
                <w:szCs w:val="20"/>
                <w:lang w:val="en-CA"/>
              </w:rPr>
            </w:pPr>
            <w:r w:rsidRPr="00BA014A">
              <w:rPr>
                <w:rFonts w:ascii="Arial" w:hAnsi="Arial" w:cs="Arial"/>
                <w:sz w:val="20"/>
                <w:szCs w:val="20"/>
                <w:lang w:val="en-CA"/>
              </w:rPr>
              <w:t xml:space="preserve">Yes </w:t>
            </w:r>
            <w:r>
              <w:rPr>
                <w:rFonts w:ascii="Arial" w:hAnsi="Arial" w:cs="Arial"/>
                <w:sz w:val="20"/>
                <w:szCs w:val="20"/>
                <w:lang w:val="en-CA"/>
              </w:rPr>
              <w:t>(CBA metrics and parameters)</w:t>
            </w:r>
            <w:r w:rsidRPr="00BA014A">
              <w:rPr>
                <w:rFonts w:ascii="Arial" w:hAnsi="Arial" w:cs="Arial"/>
                <w:sz w:val="20"/>
                <w:szCs w:val="20"/>
                <w:lang w:val="en-CA"/>
              </w:rPr>
              <w:t xml:space="preserve"> are shared with the OEB.  Would be surprised if any of the LDCs have similar strategies or visions but some may have some comparability.  So comparison across utilities may not be worthwhile (e.g., HONI and Toronto Hydro)</w:t>
            </w:r>
          </w:p>
          <w:p w:rsidR="00BA014A" w:rsidRPr="00BA014A" w:rsidRDefault="00BA014A" w:rsidP="00A53D0F">
            <w:pPr>
              <w:pStyle w:val="ListParagraph"/>
              <w:numPr>
                <w:ilvl w:val="0"/>
                <w:numId w:val="3"/>
              </w:numPr>
              <w:spacing w:before="120" w:after="120"/>
              <w:ind w:left="357" w:hanging="357"/>
              <w:contextualSpacing w:val="0"/>
              <w:rPr>
                <w:rFonts w:ascii="Arial" w:hAnsi="Arial" w:cs="Arial"/>
                <w:sz w:val="20"/>
                <w:szCs w:val="20"/>
                <w:lang w:val="en-CA"/>
              </w:rPr>
            </w:pPr>
            <w:r w:rsidRPr="00BA014A">
              <w:rPr>
                <w:rFonts w:ascii="Arial" w:hAnsi="Arial" w:cs="Arial"/>
                <w:sz w:val="20"/>
                <w:szCs w:val="20"/>
                <w:lang w:val="en-CA"/>
              </w:rPr>
              <w:t>Every year our board revisits our strategy because things change on the horizon…aging plants, customer issues, etc.  As long as you are trying your SG activities into your corporate objectives, there is consistency</w:t>
            </w:r>
          </w:p>
          <w:p w:rsidR="00BA014A" w:rsidRDefault="00BA014A" w:rsidP="00A53D0F">
            <w:pPr>
              <w:numPr>
                <w:ilvl w:val="0"/>
                <w:numId w:val="3"/>
              </w:numPr>
              <w:spacing w:before="120" w:after="120"/>
              <w:ind w:left="357" w:hanging="357"/>
              <w:rPr>
                <w:rFonts w:ascii="Arial" w:hAnsi="Arial" w:cs="Arial"/>
                <w:sz w:val="20"/>
                <w:szCs w:val="20"/>
                <w:lang w:val="en-CA"/>
              </w:rPr>
            </w:pPr>
            <w:r w:rsidRPr="00BA014A">
              <w:rPr>
                <w:rFonts w:ascii="Arial" w:hAnsi="Arial" w:cs="Arial"/>
                <w:sz w:val="20"/>
                <w:szCs w:val="20"/>
                <w:lang w:val="en-CA"/>
              </w:rPr>
              <w:t xml:space="preserve">Small utilities are not in a position to hire a consulting firm, but there is a need for a </w:t>
            </w:r>
            <w:r w:rsidRPr="00BA014A">
              <w:rPr>
                <w:rFonts w:ascii="Arial" w:hAnsi="Arial" w:cs="Arial"/>
                <w:sz w:val="20"/>
                <w:szCs w:val="20"/>
                <w:lang w:val="en-CA"/>
              </w:rPr>
              <w:lastRenderedPageBreak/>
              <w:t>CBA. The investments are not scrutinized at a granular level.  Would be open to participating in a process to come into a valuation system. Using common measurements to help prioritize investments.</w:t>
            </w:r>
          </w:p>
          <w:p w:rsidR="00BA014A" w:rsidRDefault="008A1317" w:rsidP="00A53D0F">
            <w:pPr>
              <w:numPr>
                <w:ilvl w:val="0"/>
                <w:numId w:val="3"/>
              </w:numPr>
              <w:spacing w:before="120" w:after="120"/>
              <w:ind w:left="357" w:hanging="357"/>
              <w:rPr>
                <w:rFonts w:ascii="Arial" w:hAnsi="Arial" w:cs="Arial"/>
                <w:sz w:val="20"/>
                <w:szCs w:val="20"/>
                <w:lang w:val="en-CA"/>
              </w:rPr>
            </w:pPr>
            <w:r>
              <w:rPr>
                <w:rFonts w:ascii="Arial" w:hAnsi="Arial" w:cs="Arial"/>
                <w:sz w:val="20"/>
                <w:szCs w:val="20"/>
                <w:lang w:val="en-CA"/>
              </w:rPr>
              <w:t>Often</w:t>
            </w:r>
            <w:r w:rsidR="00BA014A" w:rsidRPr="00BA014A">
              <w:rPr>
                <w:rFonts w:ascii="Arial" w:hAnsi="Arial" w:cs="Arial"/>
                <w:sz w:val="20"/>
                <w:szCs w:val="20"/>
                <w:lang w:val="en-CA"/>
              </w:rPr>
              <w:t xml:space="preserve"> SG projects are slotted into other types of investment categories.  The increasing need to filing asset management plans, you could have asset management plans consider these objectives, which may be less burdensome.  It is more natural to look at it as an asset management plan, as it </w:t>
            </w:r>
            <w:proofErr w:type="gramStart"/>
            <w:r w:rsidR="00BA014A" w:rsidRPr="00BA014A">
              <w:rPr>
                <w:rFonts w:ascii="Arial" w:hAnsi="Arial" w:cs="Arial"/>
                <w:sz w:val="20"/>
                <w:szCs w:val="20"/>
                <w:lang w:val="en-CA"/>
              </w:rPr>
              <w:t>is  an</w:t>
            </w:r>
            <w:proofErr w:type="gramEnd"/>
            <w:r w:rsidR="00BA014A" w:rsidRPr="00BA014A">
              <w:rPr>
                <w:rFonts w:ascii="Arial" w:hAnsi="Arial" w:cs="Arial"/>
                <w:sz w:val="20"/>
                <w:szCs w:val="20"/>
                <w:lang w:val="en-CA"/>
              </w:rPr>
              <w:t xml:space="preserve"> exercise to rate and prioritize projects against criteria</w:t>
            </w:r>
            <w:r w:rsidR="00BA014A">
              <w:rPr>
                <w:rFonts w:ascii="Arial" w:hAnsi="Arial" w:cs="Arial"/>
                <w:sz w:val="20"/>
                <w:szCs w:val="20"/>
                <w:lang w:val="en-CA"/>
              </w:rPr>
              <w:t xml:space="preserve">. </w:t>
            </w:r>
          </w:p>
          <w:p w:rsidR="003C55F4" w:rsidRDefault="003C55F4" w:rsidP="00A53D0F">
            <w:pPr>
              <w:numPr>
                <w:ilvl w:val="0"/>
                <w:numId w:val="3"/>
              </w:numPr>
              <w:spacing w:before="120" w:after="120"/>
              <w:ind w:left="357" w:hanging="357"/>
              <w:rPr>
                <w:rFonts w:ascii="Arial" w:hAnsi="Arial" w:cs="Arial"/>
                <w:sz w:val="20"/>
                <w:szCs w:val="20"/>
                <w:lang w:val="en-CA"/>
              </w:rPr>
            </w:pPr>
            <w:r w:rsidRPr="003C55F4">
              <w:rPr>
                <w:rFonts w:ascii="Arial" w:hAnsi="Arial" w:cs="Arial"/>
                <w:sz w:val="20"/>
                <w:szCs w:val="20"/>
                <w:lang w:val="en-CA"/>
              </w:rPr>
              <w:t>Past president was conservative with spending.  Going through strategic planning exercise now. We are going to come up with criteria specific to our utility, which will have overlap with other utilities, but how do our differences between neighbours strategies affect regional planning?</w:t>
            </w:r>
          </w:p>
          <w:p w:rsidR="003C55F4" w:rsidRDefault="003C55F4" w:rsidP="00A53D0F">
            <w:pPr>
              <w:numPr>
                <w:ilvl w:val="0"/>
                <w:numId w:val="3"/>
              </w:numPr>
              <w:spacing w:before="120" w:after="120"/>
              <w:ind w:left="357" w:hanging="357"/>
              <w:rPr>
                <w:rFonts w:ascii="Arial" w:hAnsi="Arial" w:cs="Arial"/>
                <w:sz w:val="20"/>
                <w:szCs w:val="20"/>
                <w:lang w:val="en-CA"/>
              </w:rPr>
            </w:pPr>
            <w:r w:rsidRPr="003C55F4">
              <w:rPr>
                <w:rFonts w:ascii="Arial" w:hAnsi="Arial" w:cs="Arial"/>
                <w:sz w:val="20"/>
                <w:szCs w:val="20"/>
                <w:lang w:val="en-CA"/>
              </w:rPr>
              <w:t xml:space="preserve">We have an asset mgmt. optimization process.  The word benefit is within a context, glass gets full even before you think benefits.  </w:t>
            </w:r>
            <w:proofErr w:type="spellStart"/>
            <w:r w:rsidRPr="003C55F4">
              <w:rPr>
                <w:rFonts w:ascii="Arial" w:hAnsi="Arial" w:cs="Arial"/>
                <w:sz w:val="20"/>
                <w:szCs w:val="20"/>
                <w:lang w:val="en-CA"/>
              </w:rPr>
              <w:t>Ldcs</w:t>
            </w:r>
            <w:proofErr w:type="spellEnd"/>
            <w:r w:rsidRPr="003C55F4">
              <w:rPr>
                <w:rFonts w:ascii="Arial" w:hAnsi="Arial" w:cs="Arial"/>
                <w:sz w:val="20"/>
                <w:szCs w:val="20"/>
                <w:lang w:val="en-CA"/>
              </w:rPr>
              <w:t xml:space="preserve"> are reactionary.  If we look just at benefits, we wouldn’t have smart meters in this province.  We have a DMS because of FIT, </w:t>
            </w:r>
            <w:proofErr w:type="spellStart"/>
            <w:r w:rsidRPr="003C55F4">
              <w:rPr>
                <w:rFonts w:ascii="Arial" w:hAnsi="Arial" w:cs="Arial"/>
                <w:sz w:val="20"/>
                <w:szCs w:val="20"/>
                <w:lang w:val="en-CA"/>
              </w:rPr>
              <w:t>MicroFIT</w:t>
            </w:r>
            <w:proofErr w:type="spellEnd"/>
            <w:r w:rsidRPr="003C55F4">
              <w:rPr>
                <w:rFonts w:ascii="Arial" w:hAnsi="Arial" w:cs="Arial"/>
                <w:sz w:val="20"/>
                <w:szCs w:val="20"/>
                <w:lang w:val="en-CA"/>
              </w:rPr>
              <w:t>, etc. Need to have a level of understanding beyond foundational pieces and the last application of a technology.  If policy drivers are not there, we would be where we were in 2003.  Some SG ideas are more challenged with foundational pieces.  May take a while to get to a positive NPV, but doesn’t mean we shouldn’t do it. Bulk of benefit is beyond the wires.  Need to think about long term benefits and enablers from a softer perspective, we have some technology that has no benefit now, but will enable something 3 years from now that drive lots of benefit.  E.g., laying fiber-optic cables to start the internet didn’t’ drive financial benefits for the company laying the cables, it was the ‘last application’ that makes the money, such a Facebook</w:t>
            </w:r>
          </w:p>
          <w:p w:rsidR="003C55F4" w:rsidRDefault="003C55F4" w:rsidP="00A53D0F">
            <w:pPr>
              <w:numPr>
                <w:ilvl w:val="0"/>
                <w:numId w:val="3"/>
              </w:numPr>
              <w:spacing w:before="120" w:after="120"/>
              <w:ind w:left="357" w:hanging="357"/>
              <w:rPr>
                <w:rFonts w:ascii="Arial" w:hAnsi="Arial" w:cs="Arial"/>
                <w:sz w:val="20"/>
                <w:szCs w:val="20"/>
                <w:lang w:val="en-CA"/>
              </w:rPr>
            </w:pPr>
            <w:r w:rsidRPr="003C55F4">
              <w:rPr>
                <w:rFonts w:ascii="Arial" w:hAnsi="Arial" w:cs="Arial"/>
                <w:sz w:val="20"/>
                <w:szCs w:val="20"/>
                <w:lang w:val="en-CA"/>
              </w:rPr>
              <w:t>Can’t just make decision based on pure business.  Must be underlying reasons if we really want to drive SG forward</w:t>
            </w:r>
            <w:r w:rsidR="00834C50">
              <w:rPr>
                <w:rFonts w:ascii="Arial" w:hAnsi="Arial" w:cs="Arial"/>
                <w:sz w:val="20"/>
                <w:szCs w:val="20"/>
                <w:lang w:val="en-CA"/>
              </w:rPr>
              <w:t>.</w:t>
            </w:r>
          </w:p>
        </w:tc>
      </w:tr>
      <w:tr w:rsidR="00174B0D" w:rsidRPr="00233F08" w:rsidTr="0049507C">
        <w:tc>
          <w:tcPr>
            <w:tcW w:w="1560" w:type="dxa"/>
            <w:shd w:val="clear" w:color="auto" w:fill="F2F2F2"/>
          </w:tcPr>
          <w:p w:rsidR="00174B0D" w:rsidRPr="00B12757" w:rsidRDefault="00174B0D" w:rsidP="00705222">
            <w:pPr>
              <w:spacing w:before="120"/>
              <w:rPr>
                <w:rFonts w:ascii="Arial" w:hAnsi="Arial" w:cs="Arial"/>
                <w:b/>
                <w:i/>
                <w:sz w:val="20"/>
              </w:rPr>
            </w:pPr>
            <w:r w:rsidRPr="00B12757">
              <w:rPr>
                <w:rFonts w:ascii="Arial" w:hAnsi="Arial" w:cs="Arial"/>
                <w:b/>
                <w:i/>
                <w:sz w:val="20"/>
              </w:rPr>
              <w:lastRenderedPageBreak/>
              <w:t>Technology Vendors</w:t>
            </w:r>
          </w:p>
        </w:tc>
        <w:tc>
          <w:tcPr>
            <w:tcW w:w="7908" w:type="dxa"/>
            <w:shd w:val="clear" w:color="auto" w:fill="DBE5F1"/>
          </w:tcPr>
          <w:p w:rsidR="00BA014A" w:rsidRPr="00BA014A" w:rsidRDefault="00BA014A" w:rsidP="00A53D0F">
            <w:pPr>
              <w:pStyle w:val="ListParagraph"/>
              <w:numPr>
                <w:ilvl w:val="0"/>
                <w:numId w:val="3"/>
              </w:numPr>
              <w:spacing w:before="120" w:after="120"/>
              <w:ind w:left="357" w:hanging="357"/>
              <w:contextualSpacing w:val="0"/>
              <w:rPr>
                <w:rFonts w:ascii="Arial" w:hAnsi="Arial" w:cs="Arial"/>
                <w:sz w:val="20"/>
                <w:szCs w:val="20"/>
                <w:lang w:val="en-CA"/>
              </w:rPr>
            </w:pPr>
            <w:r w:rsidRPr="00BA014A">
              <w:rPr>
                <w:rFonts w:ascii="Arial" w:hAnsi="Arial" w:cs="Arial"/>
                <w:sz w:val="20"/>
                <w:szCs w:val="20"/>
                <w:lang w:val="en-CA"/>
              </w:rPr>
              <w:t>Are these CBA metrics and parameters shared and compared with the OEB?</w:t>
            </w:r>
          </w:p>
          <w:p w:rsidR="003C55F4" w:rsidRPr="00A53D0F" w:rsidRDefault="003C55F4" w:rsidP="00A53D0F">
            <w:pPr>
              <w:numPr>
                <w:ilvl w:val="0"/>
                <w:numId w:val="3"/>
              </w:numPr>
              <w:spacing w:before="120" w:after="120"/>
              <w:ind w:left="357" w:hanging="357"/>
              <w:rPr>
                <w:rFonts w:ascii="Arial" w:hAnsi="Arial" w:cs="Arial"/>
                <w:sz w:val="20"/>
                <w:szCs w:val="20"/>
              </w:rPr>
            </w:pPr>
            <w:r w:rsidRPr="003C55F4">
              <w:rPr>
                <w:rFonts w:ascii="Arial" w:hAnsi="Arial" w:cs="Arial"/>
                <w:sz w:val="20"/>
                <w:szCs w:val="20"/>
              </w:rPr>
              <w:t xml:space="preserve">How would Ontario achieve leadership in SG if strategic plans in 78 LDCs did not all have SG in the forefront, or could not operationalize what they need to do to achieve SG excellence?  </w:t>
            </w:r>
          </w:p>
        </w:tc>
      </w:tr>
      <w:tr w:rsidR="00174B0D" w:rsidRPr="00233F08" w:rsidTr="0049507C">
        <w:tc>
          <w:tcPr>
            <w:tcW w:w="1560" w:type="dxa"/>
            <w:shd w:val="clear" w:color="auto" w:fill="F2F2F2"/>
          </w:tcPr>
          <w:p w:rsidR="00174B0D" w:rsidRPr="00B12757" w:rsidRDefault="00174B0D" w:rsidP="00705222">
            <w:pPr>
              <w:spacing w:before="120"/>
              <w:rPr>
                <w:rFonts w:ascii="Arial" w:hAnsi="Arial" w:cs="Arial"/>
                <w:b/>
                <w:i/>
                <w:sz w:val="20"/>
              </w:rPr>
            </w:pPr>
            <w:r w:rsidRPr="00B12757">
              <w:rPr>
                <w:rFonts w:ascii="Arial" w:hAnsi="Arial" w:cs="Arial"/>
                <w:b/>
                <w:i/>
                <w:sz w:val="20"/>
              </w:rPr>
              <w:t>Consumer Groups</w:t>
            </w:r>
          </w:p>
        </w:tc>
        <w:tc>
          <w:tcPr>
            <w:tcW w:w="7908" w:type="dxa"/>
            <w:shd w:val="clear" w:color="auto" w:fill="DBE5F1"/>
          </w:tcPr>
          <w:p w:rsidR="00925770" w:rsidRPr="00925770" w:rsidRDefault="00925770" w:rsidP="00A53D0F">
            <w:pPr>
              <w:pStyle w:val="ListParagraph"/>
              <w:numPr>
                <w:ilvl w:val="0"/>
                <w:numId w:val="3"/>
              </w:numPr>
              <w:spacing w:before="120" w:after="120"/>
              <w:ind w:left="357" w:hanging="357"/>
              <w:contextualSpacing w:val="0"/>
              <w:rPr>
                <w:rFonts w:ascii="Arial" w:hAnsi="Arial" w:cs="Arial"/>
                <w:sz w:val="20"/>
                <w:szCs w:val="20"/>
                <w:lang w:val="en-CA"/>
              </w:rPr>
            </w:pPr>
            <w:r w:rsidRPr="00925770">
              <w:rPr>
                <w:rFonts w:ascii="Arial" w:hAnsi="Arial" w:cs="Arial"/>
                <w:sz w:val="20"/>
                <w:szCs w:val="20"/>
                <w:lang w:val="en-CA"/>
              </w:rPr>
              <w:t xml:space="preserve">If we’re going to be looking at promoting SG type solutions, how does this process promote innovation and alternative opportunities?  Where do the other considerations come into it? Deferral account is like throwing the </w:t>
            </w:r>
            <w:proofErr w:type="gramStart"/>
            <w:r w:rsidRPr="00925770">
              <w:rPr>
                <w:rFonts w:ascii="Arial" w:hAnsi="Arial" w:cs="Arial"/>
                <w:sz w:val="20"/>
                <w:szCs w:val="20"/>
                <w:lang w:val="en-CA"/>
              </w:rPr>
              <w:t>dice,</w:t>
            </w:r>
            <w:proofErr w:type="gramEnd"/>
            <w:r w:rsidRPr="00925770">
              <w:rPr>
                <w:rFonts w:ascii="Arial" w:hAnsi="Arial" w:cs="Arial"/>
                <w:sz w:val="20"/>
                <w:szCs w:val="20"/>
                <w:lang w:val="en-CA"/>
              </w:rPr>
              <w:t xml:space="preserve"> you may or may not get it</w:t>
            </w:r>
            <w:r>
              <w:rPr>
                <w:rFonts w:ascii="Arial" w:hAnsi="Arial" w:cs="Arial"/>
                <w:sz w:val="20"/>
                <w:szCs w:val="20"/>
                <w:lang w:val="en-CA"/>
              </w:rPr>
              <w:t xml:space="preserve">. </w:t>
            </w:r>
          </w:p>
          <w:p w:rsidR="00BA014A" w:rsidRPr="00BA014A" w:rsidRDefault="00BA014A" w:rsidP="00A53D0F">
            <w:pPr>
              <w:pStyle w:val="ListParagraph"/>
              <w:numPr>
                <w:ilvl w:val="0"/>
                <w:numId w:val="3"/>
              </w:numPr>
              <w:spacing w:before="120" w:after="120"/>
              <w:ind w:left="357" w:hanging="357"/>
              <w:contextualSpacing w:val="0"/>
              <w:rPr>
                <w:rFonts w:ascii="Arial" w:hAnsi="Arial" w:cs="Arial"/>
                <w:sz w:val="20"/>
                <w:szCs w:val="20"/>
                <w:lang w:val="en-CA"/>
              </w:rPr>
            </w:pPr>
            <w:r w:rsidRPr="00BA014A">
              <w:rPr>
                <w:rFonts w:ascii="Arial" w:hAnsi="Arial" w:cs="Arial"/>
                <w:sz w:val="20"/>
                <w:szCs w:val="20"/>
                <w:lang w:val="en-CA"/>
              </w:rPr>
              <w:t>If you can justify that something is a SG initiative, could you not just add a few points on the evaluation?</w:t>
            </w:r>
          </w:p>
          <w:p w:rsidR="00925770" w:rsidRPr="00925770" w:rsidRDefault="00BA014A" w:rsidP="00A53D0F">
            <w:pPr>
              <w:pStyle w:val="ListParagraph"/>
              <w:numPr>
                <w:ilvl w:val="0"/>
                <w:numId w:val="3"/>
              </w:numPr>
              <w:spacing w:before="120" w:after="120"/>
              <w:ind w:left="357" w:hanging="357"/>
              <w:contextualSpacing w:val="0"/>
              <w:rPr>
                <w:rFonts w:ascii="Arial" w:hAnsi="Arial" w:cs="Arial"/>
                <w:sz w:val="20"/>
                <w:szCs w:val="20"/>
                <w:lang w:val="en-CA"/>
              </w:rPr>
            </w:pPr>
            <w:r w:rsidRPr="00BA014A">
              <w:rPr>
                <w:rFonts w:ascii="Arial" w:hAnsi="Arial" w:cs="Arial"/>
                <w:sz w:val="20"/>
                <w:szCs w:val="20"/>
                <w:lang w:val="en-CA"/>
              </w:rPr>
              <w:t xml:space="preserve">Board can’t look at all the </w:t>
            </w:r>
            <w:proofErr w:type="gramStart"/>
            <w:r w:rsidRPr="00BA014A">
              <w:rPr>
                <w:rFonts w:ascii="Arial" w:hAnsi="Arial" w:cs="Arial"/>
                <w:sz w:val="20"/>
                <w:szCs w:val="20"/>
                <w:lang w:val="en-CA"/>
              </w:rPr>
              <w:t>possibilities,</w:t>
            </w:r>
            <w:proofErr w:type="gramEnd"/>
            <w:r w:rsidRPr="00BA014A">
              <w:rPr>
                <w:rFonts w:ascii="Arial" w:hAnsi="Arial" w:cs="Arial"/>
                <w:sz w:val="20"/>
                <w:szCs w:val="20"/>
                <w:lang w:val="en-CA"/>
              </w:rPr>
              <w:t xml:space="preserve"> there is a general principle to how to deal with SG</w:t>
            </w:r>
            <w:r>
              <w:rPr>
                <w:rFonts w:ascii="Arial" w:hAnsi="Arial" w:cs="Arial"/>
                <w:sz w:val="20"/>
                <w:szCs w:val="20"/>
                <w:lang w:val="en-CA"/>
              </w:rPr>
              <w:t xml:space="preserve">. </w:t>
            </w:r>
          </w:p>
          <w:p w:rsidR="00174B0D" w:rsidRDefault="00BA014A" w:rsidP="00A53D0F">
            <w:pPr>
              <w:numPr>
                <w:ilvl w:val="0"/>
                <w:numId w:val="3"/>
              </w:numPr>
              <w:spacing w:before="120" w:after="120"/>
              <w:ind w:left="357" w:hanging="357"/>
              <w:rPr>
                <w:rFonts w:ascii="Arial" w:hAnsi="Arial" w:cs="Arial"/>
                <w:sz w:val="20"/>
              </w:rPr>
            </w:pPr>
            <w:r w:rsidRPr="00BA014A">
              <w:rPr>
                <w:rFonts w:ascii="Arial" w:hAnsi="Arial" w:cs="Arial"/>
                <w:sz w:val="20"/>
              </w:rPr>
              <w:t xml:space="preserve">Many utilities may not have articulated strategies and can’t go and hire a consulting firm without blowing their budgets. May be helpful to the Board to provide default valuations / guidance.  The board can issue some guidance on default measures that utilities can apply lacking customer research and their own valuation methods. This could also apply to demand efficiency.  FIT program may be good starting point for putting a value on energy efficiency / green etc. One of critical things we haven’t talked about is what </w:t>
            </w:r>
            <w:proofErr w:type="gramStart"/>
            <w:r w:rsidRPr="00BA014A">
              <w:rPr>
                <w:rFonts w:ascii="Arial" w:hAnsi="Arial" w:cs="Arial"/>
                <w:sz w:val="20"/>
              </w:rPr>
              <w:t>is the value of extra customer information</w:t>
            </w:r>
            <w:proofErr w:type="gramEnd"/>
            <w:r w:rsidRPr="00BA014A">
              <w:rPr>
                <w:rFonts w:ascii="Arial" w:hAnsi="Arial" w:cs="Arial"/>
                <w:sz w:val="20"/>
              </w:rPr>
              <w:t>.  If OEB is going to truly promote SG, it is going to need to incent the efforts of LDCs to invest in SG</w:t>
            </w:r>
          </w:p>
          <w:p w:rsidR="00BA014A" w:rsidRDefault="00BA014A" w:rsidP="00A53D0F">
            <w:pPr>
              <w:numPr>
                <w:ilvl w:val="0"/>
                <w:numId w:val="3"/>
              </w:numPr>
              <w:spacing w:before="120" w:after="120"/>
              <w:ind w:left="357" w:hanging="357"/>
              <w:rPr>
                <w:rFonts w:ascii="Arial" w:hAnsi="Arial" w:cs="Arial"/>
                <w:sz w:val="20"/>
              </w:rPr>
            </w:pPr>
            <w:r w:rsidRPr="00BA014A">
              <w:rPr>
                <w:rFonts w:ascii="Arial" w:hAnsi="Arial" w:cs="Arial"/>
                <w:sz w:val="20"/>
              </w:rPr>
              <w:t xml:space="preserve">May want to think about the sort of business cases and methodologies that the </w:t>
            </w:r>
            <w:r w:rsidRPr="00BA014A">
              <w:rPr>
                <w:rFonts w:ascii="Arial" w:hAnsi="Arial" w:cs="Arial"/>
                <w:sz w:val="20"/>
              </w:rPr>
              <w:lastRenderedPageBreak/>
              <w:t xml:space="preserve">board accepts for </w:t>
            </w:r>
            <w:proofErr w:type="spellStart"/>
            <w:r w:rsidRPr="00BA014A">
              <w:rPr>
                <w:rFonts w:ascii="Arial" w:hAnsi="Arial" w:cs="Arial"/>
                <w:sz w:val="20"/>
              </w:rPr>
              <w:t>non standard</w:t>
            </w:r>
            <w:proofErr w:type="spellEnd"/>
            <w:r w:rsidRPr="00BA014A">
              <w:rPr>
                <w:rFonts w:ascii="Arial" w:hAnsi="Arial" w:cs="Arial"/>
                <w:sz w:val="20"/>
              </w:rPr>
              <w:t xml:space="preserve"> SG projects.  E.g., an industrial park is coming </w:t>
            </w:r>
            <w:proofErr w:type="gramStart"/>
            <w:r w:rsidRPr="00BA014A">
              <w:rPr>
                <w:rFonts w:ascii="Arial" w:hAnsi="Arial" w:cs="Arial"/>
                <w:sz w:val="20"/>
              </w:rPr>
              <w:t>in,</w:t>
            </w:r>
            <w:proofErr w:type="gramEnd"/>
            <w:r w:rsidRPr="00BA014A">
              <w:rPr>
                <w:rFonts w:ascii="Arial" w:hAnsi="Arial" w:cs="Arial"/>
                <w:sz w:val="20"/>
              </w:rPr>
              <w:t xml:space="preserve"> we’d like to make some investments in SG opportunities.  Need to find a way to generate an acceptable business case</w:t>
            </w:r>
          </w:p>
          <w:p w:rsidR="003C55F4" w:rsidRDefault="003C55F4" w:rsidP="00A53D0F">
            <w:pPr>
              <w:numPr>
                <w:ilvl w:val="0"/>
                <w:numId w:val="3"/>
              </w:numPr>
              <w:spacing w:before="120" w:after="120"/>
              <w:ind w:left="357" w:hanging="357"/>
              <w:rPr>
                <w:rFonts w:ascii="Arial" w:hAnsi="Arial" w:cs="Arial"/>
                <w:sz w:val="20"/>
              </w:rPr>
            </w:pPr>
            <w:r w:rsidRPr="003C55F4">
              <w:rPr>
                <w:rFonts w:ascii="Arial" w:hAnsi="Arial" w:cs="Arial"/>
                <w:sz w:val="20"/>
              </w:rPr>
              <w:t>LDCs are still a monopoly.  Customers don’t have a choice. Customer value should be OEB’s number one objective other than safety and reliability, to promote innovation.  Ontario is not large enough to have the customer base of US and international players, so we need to have a similar game plan across the province.</w:t>
            </w:r>
          </w:p>
          <w:p w:rsidR="003C55F4" w:rsidRDefault="003C55F4" w:rsidP="00A53D0F">
            <w:pPr>
              <w:numPr>
                <w:ilvl w:val="0"/>
                <w:numId w:val="3"/>
              </w:numPr>
              <w:spacing w:before="120" w:after="120"/>
              <w:ind w:left="357" w:hanging="357"/>
              <w:rPr>
                <w:rFonts w:ascii="Arial" w:hAnsi="Arial" w:cs="Arial"/>
                <w:sz w:val="20"/>
              </w:rPr>
            </w:pPr>
            <w:r w:rsidRPr="003C55F4">
              <w:rPr>
                <w:rFonts w:ascii="Arial" w:hAnsi="Arial" w:cs="Arial"/>
                <w:sz w:val="20"/>
              </w:rPr>
              <w:t>Why a regional view rather than a provincial view?</w:t>
            </w:r>
            <w:r>
              <w:rPr>
                <w:rFonts w:ascii="Arial" w:hAnsi="Arial" w:cs="Arial"/>
                <w:sz w:val="20"/>
              </w:rPr>
              <w:t xml:space="preserve"> </w:t>
            </w:r>
            <w:r w:rsidRPr="003C55F4">
              <w:rPr>
                <w:rFonts w:ascii="Arial" w:hAnsi="Arial" w:cs="Arial"/>
                <w:sz w:val="20"/>
              </w:rPr>
              <w:t>Different economies and priorities between regions, e.g., Thunder Bay vs. Toronto</w:t>
            </w:r>
          </w:p>
          <w:p w:rsidR="003C55F4" w:rsidRDefault="003C55F4" w:rsidP="00A53D0F">
            <w:pPr>
              <w:numPr>
                <w:ilvl w:val="0"/>
                <w:numId w:val="3"/>
              </w:numPr>
              <w:spacing w:before="120" w:after="120"/>
              <w:ind w:left="357" w:hanging="357"/>
              <w:rPr>
                <w:rFonts w:ascii="Arial" w:hAnsi="Arial" w:cs="Arial"/>
                <w:sz w:val="20"/>
              </w:rPr>
            </w:pPr>
            <w:r w:rsidRPr="003C55F4">
              <w:rPr>
                <w:rFonts w:ascii="Arial" w:hAnsi="Arial" w:cs="Arial"/>
                <w:sz w:val="20"/>
              </w:rPr>
              <w:t>Does anyone have any good research on how the costs and benefits stack up?  Need to make sure you don’t spend a lot of money on smart grid when the cost of person A when the benefits go to person B.  SG has a higher CB ratio in Toronto vs. in places like Hearst, where it may be a burden on the utility up there</w:t>
            </w:r>
          </w:p>
        </w:tc>
      </w:tr>
      <w:tr w:rsidR="00925770" w:rsidRPr="00233F08" w:rsidTr="0049507C">
        <w:tc>
          <w:tcPr>
            <w:tcW w:w="1560" w:type="dxa"/>
            <w:shd w:val="clear" w:color="auto" w:fill="F2F2F2"/>
          </w:tcPr>
          <w:p w:rsidR="00925770" w:rsidRPr="00B12757" w:rsidRDefault="00925770" w:rsidP="00705222">
            <w:pPr>
              <w:spacing w:before="120"/>
              <w:rPr>
                <w:rFonts w:ascii="Arial" w:hAnsi="Arial" w:cs="Arial"/>
                <w:b/>
                <w:i/>
                <w:sz w:val="20"/>
              </w:rPr>
            </w:pPr>
            <w:r>
              <w:rPr>
                <w:rFonts w:ascii="Arial" w:hAnsi="Arial" w:cs="Arial"/>
                <w:b/>
                <w:i/>
                <w:sz w:val="20"/>
              </w:rPr>
              <w:lastRenderedPageBreak/>
              <w:t>Agencies</w:t>
            </w:r>
          </w:p>
        </w:tc>
        <w:tc>
          <w:tcPr>
            <w:tcW w:w="7908" w:type="dxa"/>
            <w:shd w:val="clear" w:color="auto" w:fill="DBE5F1"/>
          </w:tcPr>
          <w:p w:rsidR="00925770" w:rsidRDefault="00BA014A" w:rsidP="00A53D0F">
            <w:pPr>
              <w:pStyle w:val="ListParagraph"/>
              <w:numPr>
                <w:ilvl w:val="0"/>
                <w:numId w:val="3"/>
              </w:numPr>
              <w:spacing w:before="120" w:after="120"/>
              <w:ind w:left="357" w:hanging="357"/>
              <w:contextualSpacing w:val="0"/>
              <w:rPr>
                <w:rFonts w:ascii="Arial" w:hAnsi="Arial" w:cs="Arial"/>
                <w:sz w:val="20"/>
                <w:szCs w:val="20"/>
                <w:lang w:val="en-CA"/>
              </w:rPr>
            </w:pPr>
            <w:r w:rsidRPr="00BA014A">
              <w:rPr>
                <w:rFonts w:ascii="Arial" w:hAnsi="Arial" w:cs="Arial"/>
                <w:sz w:val="20"/>
                <w:szCs w:val="20"/>
                <w:lang w:val="en-CA"/>
              </w:rPr>
              <w:t>All this variability between corporate strategies introduces uncertainty.  Utilities lose the certainty about if they will get cost recovery if they really value different objectives differently.  Thinking is that the core value will be the same: reliability, cost effectiveness etc.</w:t>
            </w:r>
          </w:p>
          <w:p w:rsidR="00BA014A" w:rsidRDefault="00BA014A" w:rsidP="00A53D0F">
            <w:pPr>
              <w:pStyle w:val="ListParagraph"/>
              <w:numPr>
                <w:ilvl w:val="0"/>
                <w:numId w:val="3"/>
              </w:numPr>
              <w:spacing w:before="120" w:after="120"/>
              <w:ind w:left="357" w:hanging="357"/>
              <w:contextualSpacing w:val="0"/>
              <w:rPr>
                <w:rFonts w:ascii="Arial" w:hAnsi="Arial" w:cs="Arial"/>
                <w:sz w:val="20"/>
                <w:szCs w:val="20"/>
                <w:lang w:val="en-CA"/>
              </w:rPr>
            </w:pPr>
            <w:r w:rsidRPr="00BA014A">
              <w:rPr>
                <w:rFonts w:ascii="Arial" w:hAnsi="Arial" w:cs="Arial"/>
                <w:sz w:val="20"/>
                <w:szCs w:val="20"/>
                <w:lang w:val="en-CA"/>
              </w:rPr>
              <w:t>Balance of prescription vs. higher guidelines. Could define performance in terms of availability, etc. and then have a solution example of how to achieve the performance (very prescriptive). Can keep adding to this example.  ESA electrical safety code is very prescriptive, but in certain circumstances, we will consider deviations. Don’t be prescriptive, but provide a prescriptive example to groups</w:t>
            </w:r>
            <w:r>
              <w:rPr>
                <w:rFonts w:ascii="Arial" w:hAnsi="Arial" w:cs="Arial"/>
                <w:sz w:val="20"/>
                <w:szCs w:val="20"/>
                <w:lang w:val="en-CA"/>
              </w:rPr>
              <w:t xml:space="preserve">. </w:t>
            </w:r>
          </w:p>
          <w:p w:rsidR="00BA014A" w:rsidRDefault="003C55F4" w:rsidP="00A53D0F">
            <w:pPr>
              <w:pStyle w:val="ListParagraph"/>
              <w:numPr>
                <w:ilvl w:val="0"/>
                <w:numId w:val="3"/>
              </w:numPr>
              <w:spacing w:before="120" w:after="120"/>
              <w:ind w:left="357" w:hanging="357"/>
              <w:contextualSpacing w:val="0"/>
              <w:rPr>
                <w:rFonts w:ascii="Arial" w:hAnsi="Arial" w:cs="Arial"/>
                <w:sz w:val="20"/>
                <w:szCs w:val="20"/>
                <w:lang w:val="en-CA"/>
              </w:rPr>
            </w:pPr>
            <w:r w:rsidRPr="003C55F4">
              <w:rPr>
                <w:rFonts w:ascii="Arial" w:hAnsi="Arial" w:cs="Arial"/>
                <w:sz w:val="20"/>
                <w:szCs w:val="20"/>
                <w:lang w:val="en-CA"/>
              </w:rPr>
              <w:t>Some initiatives should be provincial in scope, some should be regional</w:t>
            </w:r>
            <w:r>
              <w:rPr>
                <w:rFonts w:ascii="Arial" w:hAnsi="Arial" w:cs="Arial"/>
                <w:sz w:val="20"/>
                <w:szCs w:val="20"/>
                <w:lang w:val="en-CA"/>
              </w:rPr>
              <w:t>.</w:t>
            </w:r>
          </w:p>
          <w:p w:rsidR="003C55F4" w:rsidRPr="00A53D0F" w:rsidRDefault="003C55F4" w:rsidP="00A53D0F">
            <w:pPr>
              <w:pStyle w:val="ListParagraph"/>
              <w:numPr>
                <w:ilvl w:val="0"/>
                <w:numId w:val="3"/>
              </w:numPr>
              <w:spacing w:before="120" w:after="120"/>
              <w:ind w:left="357" w:hanging="357"/>
              <w:contextualSpacing w:val="0"/>
              <w:rPr>
                <w:rFonts w:ascii="Arial" w:hAnsi="Arial" w:cs="Arial"/>
                <w:sz w:val="20"/>
                <w:szCs w:val="20"/>
                <w:lang w:val="en-CA"/>
              </w:rPr>
            </w:pPr>
            <w:r w:rsidRPr="003C55F4">
              <w:rPr>
                <w:rFonts w:ascii="Arial" w:hAnsi="Arial" w:cs="Arial"/>
                <w:sz w:val="20"/>
                <w:szCs w:val="20"/>
                <w:lang w:val="en-CA"/>
              </w:rPr>
              <w:t xml:space="preserve">There is an Ontario plan for SG and then there should be regional plans that support this. There is a risk that regionally some will develop quicker than others.  Do we end up creating ‘SG ghettos’ here and </w:t>
            </w:r>
            <w:proofErr w:type="gramStart"/>
            <w:r w:rsidRPr="003C55F4">
              <w:rPr>
                <w:rFonts w:ascii="Arial" w:hAnsi="Arial" w:cs="Arial"/>
                <w:sz w:val="20"/>
                <w:szCs w:val="20"/>
                <w:lang w:val="en-CA"/>
              </w:rPr>
              <w:t>there.</w:t>
            </w:r>
            <w:proofErr w:type="gramEnd"/>
            <w:r w:rsidRPr="003C55F4">
              <w:rPr>
                <w:rFonts w:ascii="Arial" w:hAnsi="Arial" w:cs="Arial"/>
                <w:sz w:val="20"/>
                <w:szCs w:val="20"/>
                <w:lang w:val="en-CA"/>
              </w:rPr>
              <w:t xml:space="preserve">  Do we need an overarching theme that supports a minimal development of SG across the board</w:t>
            </w:r>
          </w:p>
        </w:tc>
      </w:tr>
    </w:tbl>
    <w:p w:rsidR="00174B0D" w:rsidRDefault="00174B0D" w:rsidP="008B437B">
      <w:pPr>
        <w:pStyle w:val="NoSpacing"/>
        <w:rPr>
          <w:rFonts w:ascii="Arial" w:hAnsi="Arial" w:cs="Arial"/>
          <w:i/>
          <w:color w:val="1F497D"/>
        </w:rPr>
      </w:pPr>
      <w:r>
        <w:rPr>
          <w:rFonts w:ascii="Arial" w:hAnsi="Arial" w:cs="Arial"/>
          <w:b/>
          <w:i/>
          <w:color w:val="1F497D"/>
        </w:rPr>
        <w:br w:type="page"/>
      </w:r>
      <w:r w:rsidR="002F4A79">
        <w:rPr>
          <w:rFonts w:ascii="Arial" w:hAnsi="Arial" w:cs="Arial"/>
          <w:b/>
          <w:i/>
          <w:color w:val="1F497D"/>
        </w:rPr>
        <w:lastRenderedPageBreak/>
        <w:t>Cyber-security and privacy</w:t>
      </w:r>
      <w:r>
        <w:rPr>
          <w:rFonts w:ascii="Arial" w:hAnsi="Arial" w:cs="Arial"/>
          <w:b/>
          <w:i/>
          <w:color w:val="1F497D"/>
        </w:rPr>
        <w:t xml:space="preserve"> </w:t>
      </w:r>
    </w:p>
    <w:p w:rsidR="00174B0D" w:rsidRDefault="00174B0D" w:rsidP="008B437B">
      <w:pPr>
        <w:spacing w:after="60"/>
        <w:rPr>
          <w:rFonts w:ascii="Arial" w:hAnsi="Arial" w:cs="Arial"/>
          <w:b/>
          <w:i/>
          <w:sz w:val="20"/>
          <w:szCs w:val="20"/>
        </w:rPr>
      </w:pPr>
    </w:p>
    <w:p w:rsidR="00174B0D" w:rsidRDefault="00174B0D" w:rsidP="008B437B">
      <w:pPr>
        <w:spacing w:after="240"/>
        <w:rPr>
          <w:rFonts w:ascii="Arial" w:hAnsi="Arial" w:cs="Arial"/>
          <w:b/>
          <w:color w:val="1F497D"/>
          <w:sz w:val="22"/>
        </w:rPr>
      </w:pPr>
      <w:r w:rsidRPr="00B12757">
        <w:rPr>
          <w:rFonts w:ascii="Arial" w:hAnsi="Arial" w:cs="Arial"/>
          <w:b/>
          <w:color w:val="1F497D"/>
          <w:sz w:val="22"/>
        </w:rPr>
        <w:t>Key observations from the discussion:</w:t>
      </w:r>
    </w:p>
    <w:p w:rsidR="00834C50" w:rsidRDefault="00834C50" w:rsidP="002F4A79">
      <w:pPr>
        <w:numPr>
          <w:ilvl w:val="0"/>
          <w:numId w:val="67"/>
        </w:numPr>
        <w:spacing w:after="120"/>
        <w:rPr>
          <w:rFonts w:ascii="Arial" w:hAnsi="Arial" w:cs="Arial"/>
          <w:sz w:val="22"/>
        </w:rPr>
      </w:pPr>
      <w:r>
        <w:rPr>
          <w:rFonts w:ascii="Arial" w:hAnsi="Arial" w:cs="Arial"/>
          <w:sz w:val="22"/>
        </w:rPr>
        <w:t xml:space="preserve">There is agreement that the current privacy framework is effective but that without cyber-security there can be no privacy. </w:t>
      </w:r>
    </w:p>
    <w:p w:rsidR="00174B0D" w:rsidRPr="008B437B" w:rsidRDefault="00834C50" w:rsidP="002F4A79">
      <w:pPr>
        <w:numPr>
          <w:ilvl w:val="0"/>
          <w:numId w:val="67"/>
        </w:numPr>
        <w:spacing w:after="120"/>
        <w:rPr>
          <w:rFonts w:ascii="Arial" w:hAnsi="Arial" w:cs="Arial"/>
          <w:sz w:val="22"/>
        </w:rPr>
      </w:pPr>
      <w:r>
        <w:rPr>
          <w:rFonts w:ascii="Arial" w:hAnsi="Arial" w:cs="Arial"/>
          <w:sz w:val="22"/>
        </w:rPr>
        <w:t>Cyber-security is of critical importance but at the same time there is recognition that it comes at a cost so it is important to determine what level of cyber-security is appropriate for utilities and to avoid making large investments securing assets</w:t>
      </w:r>
      <w:r w:rsidR="00615FAE">
        <w:rPr>
          <w:rFonts w:ascii="Arial" w:hAnsi="Arial" w:cs="Arial"/>
          <w:sz w:val="22"/>
        </w:rPr>
        <w:t xml:space="preserve"> that don’t present great risks</w:t>
      </w:r>
      <w:r>
        <w:rPr>
          <w:rFonts w:ascii="Arial" w:hAnsi="Arial" w:cs="Arial"/>
          <w:sz w:val="22"/>
        </w:rPr>
        <w:t xml:space="preserve">. </w:t>
      </w:r>
    </w:p>
    <w:p w:rsidR="00174B0D" w:rsidRDefault="00174B0D" w:rsidP="008B437B">
      <w:pPr>
        <w:spacing w:after="60"/>
        <w:rPr>
          <w:rFonts w:ascii="Arial" w:hAnsi="Arial" w:cs="Arial"/>
          <w:b/>
        </w:rPr>
      </w:pPr>
    </w:p>
    <w:p w:rsidR="00174B0D" w:rsidRPr="00B12757" w:rsidRDefault="00174B0D" w:rsidP="008E7A0F">
      <w:pPr>
        <w:spacing w:after="120"/>
        <w:rPr>
          <w:rFonts w:ascii="Arial" w:hAnsi="Arial" w:cs="Arial"/>
          <w:b/>
          <w:color w:val="1F497D"/>
          <w:sz w:val="22"/>
        </w:rPr>
      </w:pPr>
      <w:r w:rsidRPr="00B12757">
        <w:rPr>
          <w:rFonts w:ascii="Arial" w:hAnsi="Arial" w:cs="Arial"/>
          <w:b/>
          <w:color w:val="1F497D"/>
          <w:sz w:val="22"/>
        </w:rPr>
        <w:t>Discussion notes: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8050"/>
      </w:tblGrid>
      <w:tr w:rsidR="00174B0D" w:rsidRPr="00B12757" w:rsidTr="0049507C">
        <w:tc>
          <w:tcPr>
            <w:tcW w:w="1418" w:type="dxa"/>
            <w:shd w:val="clear" w:color="auto" w:fill="F2F2F2"/>
          </w:tcPr>
          <w:p w:rsidR="00174B0D" w:rsidRPr="002E1A88" w:rsidRDefault="00174B0D" w:rsidP="00B12757">
            <w:pPr>
              <w:spacing w:before="120"/>
              <w:rPr>
                <w:rFonts w:ascii="Arial" w:hAnsi="Arial" w:cs="Arial"/>
                <w:b/>
                <w:i/>
                <w:sz w:val="20"/>
              </w:rPr>
            </w:pPr>
            <w:r>
              <w:rPr>
                <w:rFonts w:ascii="Arial" w:hAnsi="Arial" w:cs="Arial"/>
                <w:b/>
                <w:i/>
                <w:sz w:val="20"/>
              </w:rPr>
              <w:t>Utilities</w:t>
            </w:r>
          </w:p>
        </w:tc>
        <w:tc>
          <w:tcPr>
            <w:tcW w:w="8050" w:type="dxa"/>
            <w:shd w:val="clear" w:color="auto" w:fill="DBE5F1"/>
          </w:tcPr>
          <w:p w:rsidR="00174B0D" w:rsidRPr="003C55F4" w:rsidRDefault="003C55F4" w:rsidP="00A53D0F">
            <w:pPr>
              <w:numPr>
                <w:ilvl w:val="0"/>
                <w:numId w:val="25"/>
              </w:numPr>
              <w:tabs>
                <w:tab w:val="clear" w:pos="1080"/>
                <w:tab w:val="num" w:pos="317"/>
              </w:tabs>
              <w:spacing w:before="120" w:after="120"/>
              <w:ind w:left="317" w:hanging="317"/>
              <w:rPr>
                <w:rFonts w:ascii="Arial" w:hAnsi="Arial" w:cs="Arial"/>
                <w:sz w:val="20"/>
                <w:szCs w:val="20"/>
              </w:rPr>
            </w:pPr>
            <w:r w:rsidRPr="003C55F4">
              <w:rPr>
                <w:rFonts w:ascii="Arial" w:hAnsi="Arial" w:cs="Arial"/>
                <w:sz w:val="20"/>
                <w:szCs w:val="20"/>
              </w:rPr>
              <w:t>If it is a license requirement, there are things that you don’t touch; it means so much to you as an LDC that you are not likely to jeopardize it, so much more likely to be watched and maintained</w:t>
            </w:r>
            <w:r w:rsidR="002F4A79">
              <w:rPr>
                <w:rFonts w:ascii="Arial" w:hAnsi="Arial" w:cs="Arial"/>
                <w:sz w:val="20"/>
                <w:szCs w:val="20"/>
                <w:lang w:val="en-CA"/>
              </w:rPr>
              <w:t xml:space="preserve">. </w:t>
            </w:r>
          </w:p>
          <w:p w:rsidR="003C55F4" w:rsidRDefault="003C55F4" w:rsidP="00A53D0F">
            <w:pPr>
              <w:numPr>
                <w:ilvl w:val="0"/>
                <w:numId w:val="25"/>
              </w:numPr>
              <w:tabs>
                <w:tab w:val="clear" w:pos="1080"/>
                <w:tab w:val="num" w:pos="317"/>
              </w:tabs>
              <w:spacing w:before="120" w:after="120"/>
              <w:ind w:left="317" w:hanging="317"/>
              <w:rPr>
                <w:rFonts w:ascii="Arial" w:hAnsi="Arial" w:cs="Arial"/>
                <w:sz w:val="20"/>
                <w:szCs w:val="20"/>
              </w:rPr>
            </w:pPr>
            <w:r w:rsidRPr="003C55F4">
              <w:rPr>
                <w:rFonts w:ascii="Arial" w:hAnsi="Arial" w:cs="Arial"/>
                <w:sz w:val="20"/>
                <w:szCs w:val="20"/>
              </w:rPr>
              <w:t>Are 3</w:t>
            </w:r>
            <w:r w:rsidRPr="003C55F4">
              <w:rPr>
                <w:rFonts w:ascii="Arial" w:hAnsi="Arial" w:cs="Arial"/>
                <w:sz w:val="20"/>
                <w:szCs w:val="20"/>
                <w:vertAlign w:val="superscript"/>
              </w:rPr>
              <w:t>rd</w:t>
            </w:r>
            <w:r w:rsidRPr="003C55F4">
              <w:rPr>
                <w:rFonts w:ascii="Arial" w:hAnsi="Arial" w:cs="Arial"/>
                <w:sz w:val="20"/>
                <w:szCs w:val="20"/>
              </w:rPr>
              <w:t xml:space="preserve"> parties subject to the same codes, such as </w:t>
            </w:r>
            <w:proofErr w:type="spellStart"/>
            <w:r w:rsidRPr="003C55F4">
              <w:rPr>
                <w:rFonts w:ascii="Arial" w:hAnsi="Arial" w:cs="Arial"/>
                <w:sz w:val="20"/>
                <w:szCs w:val="20"/>
              </w:rPr>
              <w:t>Enbala</w:t>
            </w:r>
            <w:proofErr w:type="spellEnd"/>
            <w:r w:rsidRPr="003C55F4">
              <w:rPr>
                <w:rFonts w:ascii="Arial" w:hAnsi="Arial" w:cs="Arial"/>
                <w:sz w:val="20"/>
                <w:szCs w:val="20"/>
              </w:rPr>
              <w:t xml:space="preserve">?  If they are not, then how does the board plan to bring them on </w:t>
            </w:r>
            <w:proofErr w:type="gramStart"/>
            <w:r w:rsidRPr="003C55F4">
              <w:rPr>
                <w:rFonts w:ascii="Arial" w:hAnsi="Arial" w:cs="Arial"/>
                <w:sz w:val="20"/>
                <w:szCs w:val="20"/>
              </w:rPr>
              <w:t>board.</w:t>
            </w:r>
            <w:proofErr w:type="gramEnd"/>
            <w:r w:rsidRPr="003C55F4">
              <w:rPr>
                <w:rFonts w:ascii="Arial" w:hAnsi="Arial" w:cs="Arial"/>
                <w:sz w:val="20"/>
                <w:szCs w:val="20"/>
              </w:rPr>
              <w:t xml:space="preserve">  </w:t>
            </w:r>
          </w:p>
          <w:p w:rsidR="003C55F4" w:rsidRDefault="003C55F4" w:rsidP="00A53D0F">
            <w:pPr>
              <w:numPr>
                <w:ilvl w:val="0"/>
                <w:numId w:val="25"/>
              </w:numPr>
              <w:tabs>
                <w:tab w:val="clear" w:pos="1080"/>
                <w:tab w:val="num" w:pos="317"/>
              </w:tabs>
              <w:spacing w:before="120" w:after="120"/>
              <w:ind w:left="317" w:hanging="317"/>
              <w:rPr>
                <w:rFonts w:ascii="Arial" w:hAnsi="Arial" w:cs="Arial"/>
                <w:sz w:val="20"/>
                <w:szCs w:val="20"/>
              </w:rPr>
            </w:pPr>
            <w:r w:rsidRPr="003C55F4">
              <w:rPr>
                <w:rFonts w:ascii="Arial" w:hAnsi="Arial" w:cs="Arial"/>
                <w:sz w:val="20"/>
                <w:szCs w:val="20"/>
              </w:rPr>
              <w:t>Need to be aware that there are other service agreements outside of the authority of OEB</w:t>
            </w:r>
          </w:p>
          <w:p w:rsidR="003C55F4" w:rsidRDefault="003C55F4" w:rsidP="00A53D0F">
            <w:pPr>
              <w:numPr>
                <w:ilvl w:val="0"/>
                <w:numId w:val="25"/>
              </w:numPr>
              <w:tabs>
                <w:tab w:val="clear" w:pos="1080"/>
                <w:tab w:val="num" w:pos="317"/>
              </w:tabs>
              <w:spacing w:before="120" w:after="120"/>
              <w:ind w:left="317" w:hanging="317"/>
              <w:rPr>
                <w:rFonts w:ascii="Arial" w:hAnsi="Arial" w:cs="Arial"/>
                <w:sz w:val="20"/>
                <w:szCs w:val="20"/>
              </w:rPr>
            </w:pPr>
            <w:r w:rsidRPr="003C55F4">
              <w:rPr>
                <w:rFonts w:ascii="Arial" w:hAnsi="Arial" w:cs="Arial"/>
                <w:sz w:val="20"/>
                <w:szCs w:val="20"/>
              </w:rPr>
              <w:t>Biggest pipe of data is from meter to MDMR</w:t>
            </w:r>
          </w:p>
          <w:p w:rsidR="003C55F4" w:rsidRDefault="003C55F4" w:rsidP="00A53D0F">
            <w:pPr>
              <w:numPr>
                <w:ilvl w:val="0"/>
                <w:numId w:val="25"/>
              </w:numPr>
              <w:tabs>
                <w:tab w:val="clear" w:pos="1080"/>
                <w:tab w:val="num" w:pos="317"/>
              </w:tabs>
              <w:spacing w:before="120" w:after="120"/>
              <w:ind w:left="317" w:hanging="317"/>
              <w:rPr>
                <w:rFonts w:ascii="Arial" w:hAnsi="Arial" w:cs="Arial"/>
                <w:sz w:val="20"/>
                <w:szCs w:val="20"/>
              </w:rPr>
            </w:pPr>
            <w:r w:rsidRPr="003C55F4">
              <w:rPr>
                <w:rFonts w:ascii="Arial" w:hAnsi="Arial" w:cs="Arial"/>
                <w:sz w:val="20"/>
                <w:szCs w:val="20"/>
              </w:rPr>
              <w:t>License / code requirements would have a huge impact on small utilities.</w:t>
            </w:r>
          </w:p>
          <w:p w:rsidR="008A1317" w:rsidRDefault="003C55F4" w:rsidP="00A53D0F">
            <w:pPr>
              <w:numPr>
                <w:ilvl w:val="0"/>
                <w:numId w:val="25"/>
              </w:numPr>
              <w:tabs>
                <w:tab w:val="clear" w:pos="1080"/>
                <w:tab w:val="num" w:pos="317"/>
              </w:tabs>
              <w:spacing w:before="120" w:after="120"/>
              <w:ind w:left="317" w:hanging="317"/>
              <w:rPr>
                <w:rFonts w:ascii="Arial" w:hAnsi="Arial" w:cs="Arial"/>
                <w:sz w:val="20"/>
                <w:szCs w:val="20"/>
              </w:rPr>
            </w:pPr>
            <w:r w:rsidRPr="003C55F4">
              <w:rPr>
                <w:rFonts w:ascii="Arial" w:hAnsi="Arial" w:cs="Arial"/>
                <w:sz w:val="20"/>
                <w:szCs w:val="20"/>
              </w:rPr>
              <w:t>LDC’s already have the opportunity to partner with others to work and lower the cost. 3 of us in this room are already doing this on a cyber</w:t>
            </w:r>
            <w:r w:rsidR="008A1317">
              <w:rPr>
                <w:rFonts w:ascii="Arial" w:hAnsi="Arial" w:cs="Arial"/>
                <w:sz w:val="20"/>
                <w:szCs w:val="20"/>
              </w:rPr>
              <w:t>-</w:t>
            </w:r>
            <w:r w:rsidRPr="003C55F4">
              <w:rPr>
                <w:rFonts w:ascii="Arial" w:hAnsi="Arial" w:cs="Arial"/>
                <w:sz w:val="20"/>
                <w:szCs w:val="20"/>
              </w:rPr>
              <w:t>security initiative</w:t>
            </w:r>
          </w:p>
          <w:p w:rsidR="008A1317" w:rsidRPr="008A1317" w:rsidRDefault="008A1317" w:rsidP="00A53D0F">
            <w:pPr>
              <w:numPr>
                <w:ilvl w:val="0"/>
                <w:numId w:val="25"/>
              </w:numPr>
              <w:tabs>
                <w:tab w:val="clear" w:pos="1080"/>
                <w:tab w:val="num" w:pos="317"/>
              </w:tabs>
              <w:spacing w:before="120" w:after="120"/>
              <w:ind w:left="317" w:hanging="317"/>
              <w:rPr>
                <w:rFonts w:ascii="Arial" w:hAnsi="Arial" w:cs="Arial"/>
                <w:sz w:val="20"/>
                <w:szCs w:val="20"/>
              </w:rPr>
            </w:pPr>
            <w:r w:rsidRPr="008A1317">
              <w:rPr>
                <w:rFonts w:ascii="Arial" w:hAnsi="Arial" w:cs="Arial"/>
                <w:sz w:val="20"/>
                <w:szCs w:val="20"/>
              </w:rPr>
              <w:t>If we self-certify, would still need to do an audit on the pipes that go out to service providers, so that we can say we are secure as a  whole</w:t>
            </w:r>
          </w:p>
          <w:p w:rsidR="003C55F4" w:rsidRDefault="008A1317" w:rsidP="00A53D0F">
            <w:pPr>
              <w:pStyle w:val="ListParagraph"/>
              <w:numPr>
                <w:ilvl w:val="0"/>
                <w:numId w:val="73"/>
              </w:numPr>
              <w:spacing w:before="120" w:after="120"/>
              <w:contextualSpacing w:val="0"/>
              <w:rPr>
                <w:rFonts w:ascii="Arial" w:hAnsi="Arial" w:cs="Arial"/>
                <w:sz w:val="20"/>
                <w:szCs w:val="20"/>
              </w:rPr>
            </w:pPr>
            <w:r w:rsidRPr="008A1317">
              <w:rPr>
                <w:rFonts w:ascii="Arial" w:hAnsi="Arial" w:cs="Arial"/>
                <w:sz w:val="20"/>
                <w:szCs w:val="20"/>
              </w:rPr>
              <w:t xml:space="preserve">There are </w:t>
            </w:r>
            <w:r w:rsidR="00615FAE">
              <w:rPr>
                <w:rFonts w:ascii="Arial" w:hAnsi="Arial" w:cs="Arial"/>
                <w:sz w:val="20"/>
                <w:szCs w:val="20"/>
              </w:rPr>
              <w:t>high-risk</w:t>
            </w:r>
            <w:r w:rsidRPr="008A1317">
              <w:rPr>
                <w:rFonts w:ascii="Arial" w:hAnsi="Arial" w:cs="Arial"/>
                <w:sz w:val="20"/>
                <w:szCs w:val="20"/>
              </w:rPr>
              <w:t xml:space="preserve"> and </w:t>
            </w:r>
            <w:r w:rsidR="00615FAE">
              <w:rPr>
                <w:rFonts w:ascii="Arial" w:hAnsi="Arial" w:cs="Arial"/>
                <w:sz w:val="20"/>
                <w:szCs w:val="20"/>
              </w:rPr>
              <w:t>low-risk</w:t>
            </w:r>
            <w:r w:rsidRPr="008A1317">
              <w:rPr>
                <w:rFonts w:ascii="Arial" w:hAnsi="Arial" w:cs="Arial"/>
                <w:sz w:val="20"/>
                <w:szCs w:val="20"/>
              </w:rPr>
              <w:t xml:space="preserve"> </w:t>
            </w:r>
            <w:proofErr w:type="gramStart"/>
            <w:r w:rsidRPr="008A1317">
              <w:rPr>
                <w:rFonts w:ascii="Arial" w:hAnsi="Arial" w:cs="Arial"/>
                <w:sz w:val="20"/>
                <w:szCs w:val="20"/>
              </w:rPr>
              <w:t>assets,</w:t>
            </w:r>
            <w:proofErr w:type="gramEnd"/>
            <w:r w:rsidRPr="008A1317">
              <w:rPr>
                <w:rFonts w:ascii="Arial" w:hAnsi="Arial" w:cs="Arial"/>
                <w:sz w:val="20"/>
                <w:szCs w:val="20"/>
              </w:rPr>
              <w:t xml:space="preserve"> need to spend money wisely.  Should only </w:t>
            </w:r>
            <w:r w:rsidR="00615FAE">
              <w:rPr>
                <w:rFonts w:ascii="Arial" w:hAnsi="Arial" w:cs="Arial"/>
                <w:sz w:val="20"/>
                <w:szCs w:val="20"/>
              </w:rPr>
              <w:t>high risk</w:t>
            </w:r>
            <w:r w:rsidRPr="008A1317">
              <w:rPr>
                <w:rFonts w:ascii="Arial" w:hAnsi="Arial" w:cs="Arial"/>
                <w:sz w:val="20"/>
                <w:szCs w:val="20"/>
              </w:rPr>
              <w:t xml:space="preserve"> assets be cyber</w:t>
            </w:r>
            <w:r>
              <w:rPr>
                <w:rFonts w:ascii="Arial" w:hAnsi="Arial" w:cs="Arial"/>
                <w:sz w:val="20"/>
                <w:szCs w:val="20"/>
              </w:rPr>
              <w:t>-</w:t>
            </w:r>
            <w:r w:rsidRPr="008A1317">
              <w:rPr>
                <w:rFonts w:ascii="Arial" w:hAnsi="Arial" w:cs="Arial"/>
                <w:sz w:val="20"/>
                <w:szCs w:val="20"/>
              </w:rPr>
              <w:t>secure?</w:t>
            </w:r>
          </w:p>
          <w:p w:rsidR="008A1317" w:rsidRPr="00D84638" w:rsidRDefault="008A1317" w:rsidP="00A53D0F">
            <w:pPr>
              <w:pStyle w:val="ListParagraph"/>
              <w:numPr>
                <w:ilvl w:val="0"/>
                <w:numId w:val="73"/>
              </w:numPr>
              <w:spacing w:before="120" w:after="120"/>
              <w:contextualSpacing w:val="0"/>
              <w:rPr>
                <w:rFonts w:ascii="Arial" w:hAnsi="Arial" w:cs="Arial"/>
                <w:sz w:val="20"/>
                <w:szCs w:val="20"/>
              </w:rPr>
            </w:pPr>
            <w:r w:rsidRPr="008A1317">
              <w:rPr>
                <w:rFonts w:ascii="Arial" w:hAnsi="Arial" w:cs="Arial"/>
                <w:sz w:val="20"/>
                <w:szCs w:val="20"/>
              </w:rPr>
              <w:t>Should distinguish between operations and customers or other buckets, as they should be treated differently</w:t>
            </w:r>
          </w:p>
        </w:tc>
      </w:tr>
      <w:tr w:rsidR="00174B0D" w:rsidRPr="00B12757" w:rsidTr="0049507C">
        <w:tc>
          <w:tcPr>
            <w:tcW w:w="1418" w:type="dxa"/>
            <w:shd w:val="clear" w:color="auto" w:fill="F2F2F2"/>
          </w:tcPr>
          <w:p w:rsidR="00174B0D" w:rsidRPr="00B12757" w:rsidRDefault="00174B0D" w:rsidP="00B12757">
            <w:pPr>
              <w:spacing w:before="120" w:after="120"/>
              <w:rPr>
                <w:rFonts w:ascii="Arial" w:hAnsi="Arial" w:cs="Arial"/>
                <w:b/>
                <w:i/>
                <w:sz w:val="20"/>
              </w:rPr>
            </w:pPr>
            <w:r w:rsidRPr="00B12757">
              <w:rPr>
                <w:rFonts w:ascii="Arial" w:hAnsi="Arial" w:cs="Arial"/>
                <w:b/>
                <w:i/>
                <w:sz w:val="20"/>
              </w:rPr>
              <w:t>Technology Vendors</w:t>
            </w:r>
          </w:p>
        </w:tc>
        <w:tc>
          <w:tcPr>
            <w:tcW w:w="8050" w:type="dxa"/>
            <w:shd w:val="clear" w:color="auto" w:fill="DBE5F1"/>
          </w:tcPr>
          <w:p w:rsidR="008A1317" w:rsidRPr="008A1317" w:rsidRDefault="003C55F4" w:rsidP="00A53D0F">
            <w:pPr>
              <w:numPr>
                <w:ilvl w:val="0"/>
                <w:numId w:val="5"/>
              </w:numPr>
              <w:tabs>
                <w:tab w:val="clear" w:pos="720"/>
                <w:tab w:val="num" w:pos="317"/>
              </w:tabs>
              <w:spacing w:before="120" w:after="120"/>
              <w:ind w:left="317" w:hanging="317"/>
              <w:rPr>
                <w:rFonts w:ascii="Arial" w:hAnsi="Arial" w:cs="Arial"/>
                <w:sz w:val="20"/>
                <w:szCs w:val="20"/>
              </w:rPr>
            </w:pPr>
            <w:r w:rsidRPr="003C55F4">
              <w:rPr>
                <w:rFonts w:ascii="Arial" w:hAnsi="Arial" w:cs="Arial"/>
                <w:sz w:val="20"/>
                <w:szCs w:val="20"/>
              </w:rPr>
              <w:t xml:space="preserve">No objection to </w:t>
            </w:r>
            <w:r>
              <w:rPr>
                <w:rFonts w:ascii="Arial" w:hAnsi="Arial" w:cs="Arial"/>
                <w:sz w:val="20"/>
                <w:szCs w:val="20"/>
              </w:rPr>
              <w:t xml:space="preserve">NIST’s cyber-security </w:t>
            </w:r>
            <w:r w:rsidR="008A1317">
              <w:rPr>
                <w:rFonts w:ascii="Arial" w:hAnsi="Arial" w:cs="Arial"/>
                <w:sz w:val="20"/>
                <w:szCs w:val="20"/>
              </w:rPr>
              <w:t>standard</w:t>
            </w:r>
            <w:r w:rsidRPr="003C55F4">
              <w:rPr>
                <w:rFonts w:ascii="Arial" w:hAnsi="Arial" w:cs="Arial"/>
                <w:sz w:val="20"/>
                <w:szCs w:val="20"/>
              </w:rPr>
              <w:t xml:space="preserve">, but wondering where it is right now. NIST extends beyond if data is secure and protected from breach.  </w:t>
            </w:r>
            <w:r w:rsidR="008A1317" w:rsidRPr="008A1317">
              <w:rPr>
                <w:rFonts w:ascii="Arial" w:hAnsi="Arial" w:cs="Arial"/>
                <w:sz w:val="20"/>
                <w:szCs w:val="20"/>
              </w:rPr>
              <w:t>Shouldn’t the province provide direction on what the standard should be?</w:t>
            </w:r>
          </w:p>
          <w:p w:rsidR="00174B0D" w:rsidRPr="00A53D0F" w:rsidRDefault="008A1317" w:rsidP="00A53D0F">
            <w:pPr>
              <w:pStyle w:val="ListParagraph"/>
              <w:numPr>
                <w:ilvl w:val="0"/>
                <w:numId w:val="73"/>
              </w:numPr>
              <w:spacing w:before="120" w:after="120"/>
              <w:contextualSpacing w:val="0"/>
              <w:rPr>
                <w:rFonts w:ascii="Arial" w:hAnsi="Arial" w:cs="Arial"/>
                <w:sz w:val="20"/>
                <w:szCs w:val="20"/>
              </w:rPr>
            </w:pPr>
            <w:r w:rsidRPr="00A53D0F">
              <w:rPr>
                <w:rFonts w:ascii="Arial" w:hAnsi="Arial" w:cs="Arial"/>
                <w:sz w:val="20"/>
                <w:szCs w:val="20"/>
              </w:rPr>
              <w:t>When you are coming up with rules, do you look to other jurisdictions for guidance? E.g., New York</w:t>
            </w:r>
          </w:p>
        </w:tc>
      </w:tr>
      <w:tr w:rsidR="003C55F4" w:rsidRPr="00B12757" w:rsidTr="0049507C">
        <w:tc>
          <w:tcPr>
            <w:tcW w:w="1418" w:type="dxa"/>
            <w:shd w:val="clear" w:color="auto" w:fill="F2F2F2"/>
          </w:tcPr>
          <w:p w:rsidR="003C55F4" w:rsidRPr="00F13561" w:rsidRDefault="003C55F4" w:rsidP="00B12757">
            <w:pPr>
              <w:spacing w:before="120"/>
              <w:rPr>
                <w:rFonts w:ascii="Arial" w:hAnsi="Arial" w:cs="Arial"/>
                <w:b/>
                <w:i/>
                <w:sz w:val="20"/>
              </w:rPr>
            </w:pPr>
            <w:r>
              <w:rPr>
                <w:rFonts w:ascii="Arial" w:hAnsi="Arial" w:cs="Arial"/>
                <w:b/>
                <w:i/>
                <w:sz w:val="20"/>
              </w:rPr>
              <w:t>Agencies</w:t>
            </w:r>
          </w:p>
        </w:tc>
        <w:tc>
          <w:tcPr>
            <w:tcW w:w="8050" w:type="dxa"/>
            <w:shd w:val="clear" w:color="auto" w:fill="DBE5F1"/>
          </w:tcPr>
          <w:p w:rsidR="003C55F4" w:rsidRPr="003C55F4" w:rsidRDefault="003C55F4" w:rsidP="00A53D0F">
            <w:pPr>
              <w:numPr>
                <w:ilvl w:val="0"/>
                <w:numId w:val="6"/>
              </w:numPr>
              <w:spacing w:before="120" w:after="120"/>
              <w:rPr>
                <w:rFonts w:ascii="Arial" w:hAnsi="Arial" w:cs="Arial"/>
                <w:sz w:val="20"/>
                <w:szCs w:val="20"/>
                <w:lang w:val="en-CA"/>
              </w:rPr>
            </w:pPr>
            <w:r w:rsidRPr="003C55F4">
              <w:rPr>
                <w:rFonts w:ascii="Arial" w:hAnsi="Arial" w:cs="Arial"/>
                <w:sz w:val="20"/>
                <w:szCs w:val="20"/>
              </w:rPr>
              <w:t>There will be services in the future where unlicensed bodies may do things that create complaints.  Who do people go to complaints against these organizations?</w:t>
            </w:r>
            <w:r>
              <w:rPr>
                <w:rFonts w:ascii="Arial" w:hAnsi="Arial" w:cs="Arial"/>
                <w:sz w:val="20"/>
                <w:szCs w:val="20"/>
              </w:rPr>
              <w:t xml:space="preserve"> </w:t>
            </w:r>
          </w:p>
          <w:p w:rsidR="003C55F4" w:rsidRPr="008A1317" w:rsidRDefault="003C55F4" w:rsidP="00A53D0F">
            <w:pPr>
              <w:numPr>
                <w:ilvl w:val="0"/>
                <w:numId w:val="6"/>
              </w:numPr>
              <w:spacing w:before="120" w:after="120"/>
              <w:rPr>
                <w:rFonts w:ascii="Arial" w:hAnsi="Arial" w:cs="Arial"/>
                <w:sz w:val="20"/>
                <w:szCs w:val="20"/>
                <w:lang w:val="en-CA"/>
              </w:rPr>
            </w:pPr>
            <w:r w:rsidRPr="003C55F4">
              <w:rPr>
                <w:rFonts w:ascii="Arial" w:hAnsi="Arial" w:cs="Arial"/>
                <w:sz w:val="20"/>
                <w:szCs w:val="20"/>
              </w:rPr>
              <w:t>If a service provider is directly engaged with an individual and that individual needs to sue a company, and if they aren’t legally sophisticated or have the means to sue a large company, is there a need to have another body to look out for consumers?</w:t>
            </w:r>
          </w:p>
          <w:p w:rsidR="008A1317" w:rsidRPr="00A53D0F" w:rsidRDefault="008A1317" w:rsidP="00A53D0F">
            <w:pPr>
              <w:pStyle w:val="ListParagraph"/>
              <w:numPr>
                <w:ilvl w:val="0"/>
                <w:numId w:val="6"/>
              </w:numPr>
              <w:spacing w:before="120" w:after="120"/>
              <w:contextualSpacing w:val="0"/>
              <w:rPr>
                <w:rFonts w:ascii="Arial" w:hAnsi="Arial" w:cs="Arial"/>
                <w:sz w:val="20"/>
                <w:szCs w:val="20"/>
              </w:rPr>
            </w:pPr>
            <w:r w:rsidRPr="00A53D0F">
              <w:rPr>
                <w:rFonts w:ascii="Arial" w:hAnsi="Arial" w:cs="Arial"/>
                <w:sz w:val="20"/>
                <w:szCs w:val="20"/>
              </w:rPr>
              <w:t xml:space="preserve">NIST is moving forward in the US because there is no other alternative.  Some may suggest that a threat based framework is better than guidance.  The OEB should be not </w:t>
            </w:r>
            <w:proofErr w:type="gramStart"/>
            <w:r w:rsidRPr="00A53D0F">
              <w:rPr>
                <w:rFonts w:ascii="Arial" w:hAnsi="Arial" w:cs="Arial"/>
                <w:sz w:val="20"/>
                <w:szCs w:val="20"/>
              </w:rPr>
              <w:t>be</w:t>
            </w:r>
            <w:proofErr w:type="gramEnd"/>
            <w:r w:rsidRPr="00A53D0F">
              <w:rPr>
                <w:rFonts w:ascii="Arial" w:hAnsi="Arial" w:cs="Arial"/>
                <w:sz w:val="20"/>
                <w:szCs w:val="20"/>
              </w:rPr>
              <w:t xml:space="preserve"> too prescriptive</w:t>
            </w:r>
            <w:r w:rsidR="00A53D0F">
              <w:rPr>
                <w:rFonts w:ascii="Arial" w:hAnsi="Arial" w:cs="Arial"/>
                <w:sz w:val="20"/>
                <w:szCs w:val="20"/>
              </w:rPr>
              <w:t xml:space="preserve">. </w:t>
            </w:r>
          </w:p>
        </w:tc>
      </w:tr>
    </w:tbl>
    <w:p w:rsidR="00174B0D" w:rsidRPr="00A82CA1" w:rsidRDefault="00174B0D">
      <w:pPr>
        <w:rPr>
          <w:rFonts w:ascii="Arial" w:hAnsi="Arial" w:cs="Arial"/>
        </w:rPr>
      </w:pPr>
    </w:p>
    <w:p w:rsidR="008A1317" w:rsidRDefault="008A1317">
      <w:pPr>
        <w:rPr>
          <w:rFonts w:ascii="Arial" w:hAnsi="Arial" w:cs="Arial"/>
          <w:b/>
          <w:i/>
          <w:color w:val="1F497D"/>
        </w:rPr>
      </w:pPr>
      <w:r>
        <w:rPr>
          <w:rFonts w:ascii="Arial" w:hAnsi="Arial" w:cs="Arial"/>
          <w:b/>
          <w:i/>
          <w:color w:val="1F497D"/>
        </w:rPr>
        <w:br w:type="page"/>
      </w:r>
    </w:p>
    <w:p w:rsidR="00174B0D" w:rsidRDefault="002F4A79" w:rsidP="008B437B">
      <w:pPr>
        <w:pStyle w:val="NoSpacing"/>
        <w:rPr>
          <w:rFonts w:ascii="Arial" w:hAnsi="Arial" w:cs="Arial"/>
          <w:i/>
          <w:color w:val="1F497D"/>
        </w:rPr>
      </w:pPr>
      <w:r>
        <w:rPr>
          <w:rFonts w:ascii="Arial" w:hAnsi="Arial" w:cs="Arial"/>
          <w:b/>
          <w:i/>
          <w:color w:val="1F497D"/>
        </w:rPr>
        <w:lastRenderedPageBreak/>
        <w:t>Facilitation of customer access to meter data</w:t>
      </w:r>
      <w:r w:rsidR="00174B0D">
        <w:rPr>
          <w:rFonts w:ascii="Arial" w:hAnsi="Arial" w:cs="Arial"/>
          <w:b/>
          <w:i/>
          <w:color w:val="1F497D"/>
        </w:rPr>
        <w:t xml:space="preserve"> </w:t>
      </w:r>
    </w:p>
    <w:p w:rsidR="00174B0D" w:rsidRDefault="00174B0D" w:rsidP="008B437B">
      <w:pPr>
        <w:spacing w:after="60"/>
        <w:rPr>
          <w:rFonts w:ascii="Arial" w:hAnsi="Arial" w:cs="Arial"/>
          <w:b/>
          <w:i/>
          <w:sz w:val="20"/>
          <w:szCs w:val="20"/>
        </w:rPr>
      </w:pPr>
    </w:p>
    <w:p w:rsidR="00174B0D" w:rsidRPr="008B437B" w:rsidRDefault="00174B0D" w:rsidP="008B437B">
      <w:pPr>
        <w:spacing w:after="240"/>
        <w:rPr>
          <w:rFonts w:ascii="Arial" w:hAnsi="Arial" w:cs="Arial"/>
          <w:b/>
          <w:sz w:val="22"/>
        </w:rPr>
      </w:pPr>
      <w:r w:rsidRPr="00B12757">
        <w:rPr>
          <w:rFonts w:ascii="Arial" w:hAnsi="Arial" w:cs="Arial"/>
          <w:b/>
          <w:color w:val="1F497D"/>
          <w:sz w:val="22"/>
        </w:rPr>
        <w:t>Key observations from the discussion:</w:t>
      </w:r>
    </w:p>
    <w:p w:rsidR="00CF2FA5" w:rsidRPr="008B437B" w:rsidRDefault="00CF2FA5" w:rsidP="00CF2FA5">
      <w:pPr>
        <w:numPr>
          <w:ilvl w:val="0"/>
          <w:numId w:val="68"/>
        </w:numPr>
        <w:spacing w:after="120"/>
        <w:rPr>
          <w:rFonts w:ascii="Arial" w:hAnsi="Arial" w:cs="Arial"/>
        </w:rPr>
      </w:pPr>
      <w:r>
        <w:rPr>
          <w:rFonts w:ascii="Arial" w:hAnsi="Arial" w:cs="Arial"/>
          <w:sz w:val="22"/>
          <w:szCs w:val="22"/>
        </w:rPr>
        <w:t xml:space="preserve">General agreement that customers and authorized third parties should have access to historical data; billing quality interval data, real-time data ‘direct from the meter’. </w:t>
      </w:r>
    </w:p>
    <w:p w:rsidR="00834C50" w:rsidRPr="00834C50" w:rsidRDefault="00834C50" w:rsidP="002F4A79">
      <w:pPr>
        <w:numPr>
          <w:ilvl w:val="0"/>
          <w:numId w:val="68"/>
        </w:numPr>
        <w:spacing w:after="120"/>
        <w:rPr>
          <w:rFonts w:ascii="Arial" w:hAnsi="Arial" w:cs="Arial"/>
        </w:rPr>
      </w:pPr>
      <w:r>
        <w:rPr>
          <w:rFonts w:ascii="Arial" w:hAnsi="Arial" w:cs="Arial"/>
          <w:sz w:val="22"/>
          <w:szCs w:val="22"/>
        </w:rPr>
        <w:t>No option for providing data has emerged as the clear choice especially given current technological constraints</w:t>
      </w:r>
      <w:r w:rsidR="00CF2FA5">
        <w:rPr>
          <w:rFonts w:ascii="Arial" w:hAnsi="Arial" w:cs="Arial"/>
          <w:sz w:val="22"/>
          <w:szCs w:val="22"/>
        </w:rPr>
        <w:t>; moreover there is agreement that the Board should avoid picking a ‘winning’ technology/standard</w:t>
      </w:r>
      <w:r>
        <w:rPr>
          <w:rFonts w:ascii="Arial" w:hAnsi="Arial" w:cs="Arial"/>
          <w:sz w:val="22"/>
          <w:szCs w:val="22"/>
        </w:rPr>
        <w:t xml:space="preserve">. </w:t>
      </w:r>
      <w:r w:rsidR="00CF2FA5">
        <w:rPr>
          <w:rFonts w:ascii="Arial" w:hAnsi="Arial" w:cs="Arial"/>
          <w:sz w:val="22"/>
          <w:szCs w:val="22"/>
        </w:rPr>
        <w:t xml:space="preserve">There is support for providing a standardized method of accessing data however there is also recognition that this is not necessarily possible right away without incurring significant costs to replace/upgrade existing AMI systems. </w:t>
      </w:r>
    </w:p>
    <w:p w:rsidR="00174B0D" w:rsidRPr="00CF2FA5" w:rsidRDefault="00834C50" w:rsidP="002F4A79">
      <w:pPr>
        <w:numPr>
          <w:ilvl w:val="0"/>
          <w:numId w:val="68"/>
        </w:numPr>
        <w:spacing w:after="120"/>
        <w:rPr>
          <w:rFonts w:ascii="Arial" w:hAnsi="Arial" w:cs="Arial"/>
        </w:rPr>
      </w:pPr>
      <w:r>
        <w:rPr>
          <w:rFonts w:ascii="Arial" w:hAnsi="Arial" w:cs="Arial"/>
          <w:sz w:val="22"/>
          <w:szCs w:val="22"/>
        </w:rPr>
        <w:t xml:space="preserve">General agreement that the potential capability of the MDM/R should be leveraged as much as possible. </w:t>
      </w:r>
    </w:p>
    <w:p w:rsidR="00174B0D" w:rsidRDefault="00174B0D" w:rsidP="008E7A0F">
      <w:pPr>
        <w:spacing w:after="120"/>
        <w:rPr>
          <w:rFonts w:ascii="Arial" w:hAnsi="Arial" w:cs="Arial"/>
          <w:b/>
          <w:color w:val="1F497D"/>
          <w:sz w:val="22"/>
        </w:rPr>
      </w:pPr>
    </w:p>
    <w:p w:rsidR="00174B0D" w:rsidRPr="00B12757" w:rsidRDefault="00174B0D" w:rsidP="008E7A0F">
      <w:pPr>
        <w:spacing w:after="120"/>
        <w:rPr>
          <w:rFonts w:ascii="Arial" w:hAnsi="Arial" w:cs="Arial"/>
          <w:b/>
          <w:color w:val="1F497D"/>
          <w:sz w:val="22"/>
        </w:rPr>
      </w:pPr>
      <w:r w:rsidRPr="00B12757">
        <w:rPr>
          <w:rFonts w:ascii="Arial" w:hAnsi="Arial" w:cs="Arial"/>
          <w:b/>
          <w:color w:val="1F497D"/>
          <w:sz w:val="22"/>
        </w:rPr>
        <w:t>Discussion notes: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8050"/>
      </w:tblGrid>
      <w:tr w:rsidR="00174B0D" w:rsidRPr="002850DF" w:rsidTr="0049507C">
        <w:tc>
          <w:tcPr>
            <w:tcW w:w="1418" w:type="dxa"/>
            <w:shd w:val="clear" w:color="auto" w:fill="F2F2F2"/>
          </w:tcPr>
          <w:p w:rsidR="00174B0D" w:rsidRPr="00976945" w:rsidRDefault="00174B0D" w:rsidP="00976945">
            <w:pPr>
              <w:spacing w:before="120"/>
              <w:ind w:left="360" w:hanging="360"/>
              <w:rPr>
                <w:rFonts w:ascii="Arial" w:hAnsi="Arial" w:cs="Arial"/>
                <w:b/>
                <w:i/>
                <w:sz w:val="20"/>
              </w:rPr>
            </w:pPr>
            <w:r w:rsidRPr="00976945">
              <w:rPr>
                <w:rFonts w:ascii="Arial" w:hAnsi="Arial" w:cs="Arial"/>
                <w:b/>
                <w:i/>
                <w:sz w:val="20"/>
              </w:rPr>
              <w:t>Utilities</w:t>
            </w:r>
          </w:p>
        </w:tc>
        <w:tc>
          <w:tcPr>
            <w:tcW w:w="8050" w:type="dxa"/>
            <w:shd w:val="clear" w:color="auto" w:fill="DBE5F1"/>
          </w:tcPr>
          <w:p w:rsidR="00174B0D" w:rsidRPr="008A1317" w:rsidRDefault="008A1317" w:rsidP="00A53D0F">
            <w:pPr>
              <w:numPr>
                <w:ilvl w:val="0"/>
                <w:numId w:val="8"/>
              </w:numPr>
              <w:spacing w:before="120" w:after="120"/>
              <w:ind w:left="357" w:hanging="357"/>
              <w:rPr>
                <w:rFonts w:ascii="Arial" w:hAnsi="Arial" w:cs="Arial"/>
                <w:sz w:val="20"/>
                <w:szCs w:val="20"/>
                <w:lang w:val="en-CA"/>
              </w:rPr>
            </w:pPr>
            <w:r>
              <w:rPr>
                <w:rFonts w:ascii="Arial" w:hAnsi="Arial" w:cs="Arial"/>
                <w:sz w:val="20"/>
                <w:szCs w:val="20"/>
              </w:rPr>
              <w:t xml:space="preserve">(Re: options for enabling BTM services) </w:t>
            </w:r>
            <w:r w:rsidRPr="008A1317">
              <w:rPr>
                <w:rFonts w:ascii="Arial" w:hAnsi="Arial" w:cs="Arial"/>
                <w:sz w:val="20"/>
                <w:szCs w:val="20"/>
              </w:rPr>
              <w:t>Depends on the type of the meter technology.  Not an easy question to answer</w:t>
            </w:r>
            <w:r>
              <w:rPr>
                <w:rFonts w:ascii="Arial" w:hAnsi="Arial" w:cs="Arial"/>
                <w:sz w:val="20"/>
                <w:szCs w:val="20"/>
              </w:rPr>
              <w:t xml:space="preserve">. </w:t>
            </w:r>
          </w:p>
          <w:p w:rsidR="008A1317" w:rsidRDefault="008A1317" w:rsidP="00A53D0F">
            <w:pPr>
              <w:numPr>
                <w:ilvl w:val="0"/>
                <w:numId w:val="8"/>
              </w:numPr>
              <w:spacing w:before="120" w:after="120"/>
              <w:ind w:left="357" w:hanging="357"/>
              <w:rPr>
                <w:rFonts w:ascii="Arial" w:hAnsi="Arial" w:cs="Arial"/>
                <w:sz w:val="20"/>
                <w:szCs w:val="20"/>
                <w:lang w:val="en-CA"/>
              </w:rPr>
            </w:pPr>
            <w:r w:rsidRPr="008A1317">
              <w:rPr>
                <w:rFonts w:ascii="Arial" w:hAnsi="Arial" w:cs="Arial"/>
                <w:sz w:val="20"/>
                <w:szCs w:val="20"/>
                <w:lang w:val="en-CA"/>
              </w:rPr>
              <w:t>Smart meter was originally created for the purpose of billing, and that is why it was unidirectional, not bidirectional.  How long will we hold the data?</w:t>
            </w:r>
          </w:p>
          <w:p w:rsidR="00D569EE" w:rsidRPr="00D569EE" w:rsidRDefault="00D569EE" w:rsidP="00A53D0F">
            <w:pPr>
              <w:numPr>
                <w:ilvl w:val="0"/>
                <w:numId w:val="8"/>
              </w:numPr>
              <w:spacing w:before="120" w:after="120"/>
              <w:ind w:left="357" w:hanging="357"/>
              <w:rPr>
                <w:rFonts w:ascii="Arial" w:hAnsi="Arial" w:cs="Arial"/>
                <w:sz w:val="20"/>
                <w:szCs w:val="20"/>
                <w:lang w:val="en-CA"/>
              </w:rPr>
            </w:pPr>
            <w:r w:rsidRPr="00D569EE">
              <w:rPr>
                <w:rFonts w:ascii="Arial" w:hAnsi="Arial" w:cs="Arial"/>
                <w:sz w:val="20"/>
                <w:szCs w:val="20"/>
              </w:rPr>
              <w:t xml:space="preserve">I would support </w:t>
            </w:r>
            <w:r>
              <w:rPr>
                <w:rFonts w:ascii="Arial" w:hAnsi="Arial" w:cs="Arial"/>
                <w:sz w:val="20"/>
                <w:szCs w:val="20"/>
              </w:rPr>
              <w:t>(using MDM/R as single source for accessing data)</w:t>
            </w:r>
            <w:r w:rsidRPr="00D569EE">
              <w:rPr>
                <w:rFonts w:ascii="Arial" w:hAnsi="Arial" w:cs="Arial"/>
                <w:sz w:val="20"/>
                <w:szCs w:val="20"/>
              </w:rPr>
              <w:t xml:space="preserve"> and a number of LDC’s did, but others didn’t, but the IESO backed away from providing this service.</w:t>
            </w:r>
          </w:p>
          <w:p w:rsidR="00D569EE" w:rsidRPr="00D569EE" w:rsidRDefault="00D569EE" w:rsidP="00A53D0F">
            <w:pPr>
              <w:numPr>
                <w:ilvl w:val="0"/>
                <w:numId w:val="8"/>
              </w:numPr>
              <w:spacing w:before="120" w:after="120"/>
              <w:ind w:left="357" w:hanging="357"/>
              <w:rPr>
                <w:rFonts w:ascii="Arial" w:hAnsi="Arial" w:cs="Arial"/>
                <w:sz w:val="20"/>
                <w:szCs w:val="20"/>
                <w:lang w:val="en-CA"/>
              </w:rPr>
            </w:pPr>
            <w:r w:rsidRPr="00D569EE">
              <w:rPr>
                <w:rFonts w:ascii="Arial" w:hAnsi="Arial" w:cs="Arial"/>
                <w:sz w:val="20"/>
                <w:szCs w:val="20"/>
              </w:rPr>
              <w:t>We are only talking consumption data, not any of the other telemetry data. MDMR doesn’t support demand data.  Using the MDMR would represent a considerable uptake in scope</w:t>
            </w:r>
            <w:r>
              <w:rPr>
                <w:rFonts w:ascii="Arial" w:hAnsi="Arial" w:cs="Arial"/>
                <w:sz w:val="20"/>
                <w:szCs w:val="20"/>
              </w:rPr>
              <w:t xml:space="preserve">. </w:t>
            </w:r>
          </w:p>
          <w:p w:rsidR="00D569EE" w:rsidRPr="00D569EE" w:rsidRDefault="00D569EE" w:rsidP="00A53D0F">
            <w:pPr>
              <w:numPr>
                <w:ilvl w:val="0"/>
                <w:numId w:val="8"/>
              </w:numPr>
              <w:spacing w:before="120" w:after="120"/>
              <w:ind w:left="357" w:hanging="357"/>
              <w:rPr>
                <w:rFonts w:ascii="Arial" w:hAnsi="Arial" w:cs="Arial"/>
                <w:sz w:val="20"/>
                <w:szCs w:val="20"/>
                <w:lang w:val="en-CA"/>
              </w:rPr>
            </w:pPr>
            <w:r w:rsidRPr="00D569EE">
              <w:rPr>
                <w:rFonts w:ascii="Arial" w:hAnsi="Arial" w:cs="Arial"/>
                <w:sz w:val="20"/>
                <w:szCs w:val="20"/>
              </w:rPr>
              <w:t>Nothing to say we can’t go back on this in the future.  Can look at this in the next 5 years</w:t>
            </w:r>
          </w:p>
          <w:p w:rsidR="00D569EE" w:rsidRPr="00D569EE" w:rsidRDefault="00D569EE" w:rsidP="00A53D0F">
            <w:pPr>
              <w:numPr>
                <w:ilvl w:val="0"/>
                <w:numId w:val="8"/>
              </w:numPr>
              <w:spacing w:before="120" w:after="120"/>
              <w:ind w:left="357" w:hanging="357"/>
              <w:rPr>
                <w:rFonts w:ascii="Arial" w:hAnsi="Arial" w:cs="Arial"/>
                <w:sz w:val="20"/>
                <w:szCs w:val="20"/>
                <w:lang w:val="en-CA"/>
              </w:rPr>
            </w:pPr>
            <w:r w:rsidRPr="00D569EE">
              <w:rPr>
                <w:rFonts w:ascii="Arial" w:hAnsi="Arial" w:cs="Arial"/>
                <w:sz w:val="20"/>
                <w:szCs w:val="20"/>
              </w:rPr>
              <w:t>But LDC’s don’t’ necessarily have hourly interval data.  Utilities would need to do some significant work to feed data on an hourly basis for the EBT system</w:t>
            </w:r>
            <w:r>
              <w:rPr>
                <w:rFonts w:ascii="Arial" w:hAnsi="Arial" w:cs="Arial"/>
                <w:sz w:val="20"/>
                <w:szCs w:val="20"/>
              </w:rPr>
              <w:t xml:space="preserve">. </w:t>
            </w:r>
            <w:proofErr w:type="gramStart"/>
            <w:r w:rsidRPr="00D569EE">
              <w:rPr>
                <w:rFonts w:ascii="Arial" w:hAnsi="Arial" w:cs="Arial"/>
                <w:sz w:val="20"/>
                <w:szCs w:val="20"/>
              </w:rPr>
              <w:t>we</w:t>
            </w:r>
            <w:proofErr w:type="gramEnd"/>
            <w:r w:rsidRPr="00D569EE">
              <w:rPr>
                <w:rFonts w:ascii="Arial" w:hAnsi="Arial" w:cs="Arial"/>
                <w:sz w:val="20"/>
                <w:szCs w:val="20"/>
              </w:rPr>
              <w:t xml:space="preserve"> do collection, but we don’t have the data to do validation</w:t>
            </w:r>
            <w:r>
              <w:rPr>
                <w:rFonts w:ascii="Arial" w:hAnsi="Arial" w:cs="Arial"/>
                <w:sz w:val="20"/>
                <w:szCs w:val="20"/>
              </w:rPr>
              <w:t xml:space="preserve">. </w:t>
            </w:r>
          </w:p>
          <w:p w:rsidR="00D569EE" w:rsidRPr="00C76EAA" w:rsidRDefault="00834C50" w:rsidP="00A53D0F">
            <w:pPr>
              <w:numPr>
                <w:ilvl w:val="0"/>
                <w:numId w:val="8"/>
              </w:numPr>
              <w:spacing w:before="120" w:after="120"/>
              <w:ind w:left="357" w:hanging="357"/>
              <w:rPr>
                <w:rFonts w:ascii="Arial" w:hAnsi="Arial" w:cs="Arial"/>
                <w:sz w:val="20"/>
                <w:szCs w:val="20"/>
                <w:lang w:val="en-CA"/>
              </w:rPr>
            </w:pPr>
            <w:r>
              <w:rPr>
                <w:rFonts w:ascii="Arial" w:hAnsi="Arial" w:cs="Arial"/>
                <w:sz w:val="20"/>
                <w:szCs w:val="20"/>
              </w:rPr>
              <w:t>T</w:t>
            </w:r>
            <w:r w:rsidR="00D569EE" w:rsidRPr="00D569EE">
              <w:rPr>
                <w:rFonts w:ascii="Arial" w:hAnsi="Arial" w:cs="Arial"/>
                <w:sz w:val="20"/>
                <w:szCs w:val="20"/>
              </w:rPr>
              <w:t>echnology deployed over the first few years, prevents some of this from being doable</w:t>
            </w:r>
            <w:r w:rsidR="00D569EE">
              <w:rPr>
                <w:rFonts w:ascii="Arial" w:hAnsi="Arial" w:cs="Arial"/>
                <w:sz w:val="20"/>
                <w:szCs w:val="20"/>
              </w:rPr>
              <w:t xml:space="preserve">. </w:t>
            </w:r>
            <w:r w:rsidR="00D569EE" w:rsidRPr="00D569EE">
              <w:rPr>
                <w:rFonts w:ascii="Arial" w:hAnsi="Arial" w:cs="Arial"/>
                <w:sz w:val="20"/>
                <w:szCs w:val="20"/>
              </w:rPr>
              <w:t>Need to expand the bandwidth of the mesh to have bidirectional meters</w:t>
            </w:r>
            <w:r w:rsidR="00D569EE">
              <w:rPr>
                <w:rFonts w:ascii="Arial" w:hAnsi="Arial" w:cs="Arial"/>
                <w:sz w:val="20"/>
                <w:szCs w:val="20"/>
              </w:rPr>
              <w:t xml:space="preserve">. </w:t>
            </w:r>
          </w:p>
          <w:p w:rsidR="00C76EAA" w:rsidRPr="00C76EAA" w:rsidRDefault="00C76EAA" w:rsidP="00A53D0F">
            <w:pPr>
              <w:numPr>
                <w:ilvl w:val="0"/>
                <w:numId w:val="8"/>
              </w:numPr>
              <w:spacing w:before="120" w:after="120"/>
              <w:ind w:left="357" w:hanging="357"/>
              <w:rPr>
                <w:rFonts w:ascii="Arial" w:hAnsi="Arial" w:cs="Arial"/>
                <w:sz w:val="20"/>
                <w:szCs w:val="20"/>
                <w:lang w:val="en-CA"/>
              </w:rPr>
            </w:pPr>
            <w:r w:rsidRPr="00C76EAA">
              <w:rPr>
                <w:rFonts w:ascii="Arial" w:hAnsi="Arial" w:cs="Arial"/>
                <w:sz w:val="20"/>
                <w:szCs w:val="20"/>
              </w:rPr>
              <w:t>Utility needs to provide the connection into the home</w:t>
            </w:r>
          </w:p>
          <w:p w:rsidR="00C76EAA" w:rsidRPr="002F4A79" w:rsidRDefault="00C76EAA" w:rsidP="00A53D0F">
            <w:pPr>
              <w:numPr>
                <w:ilvl w:val="0"/>
                <w:numId w:val="8"/>
              </w:numPr>
              <w:spacing w:before="120" w:after="120"/>
              <w:ind w:left="357" w:hanging="357"/>
              <w:rPr>
                <w:rFonts w:ascii="Arial" w:hAnsi="Arial" w:cs="Arial"/>
                <w:sz w:val="20"/>
                <w:szCs w:val="20"/>
                <w:lang w:val="en-CA"/>
              </w:rPr>
            </w:pPr>
            <w:r w:rsidRPr="00C76EAA">
              <w:rPr>
                <w:rFonts w:ascii="Arial" w:hAnsi="Arial" w:cs="Arial"/>
                <w:sz w:val="20"/>
                <w:szCs w:val="20"/>
              </w:rPr>
              <w:t>Does Board do a lift analysis of the impact on what its policies / code changes etc. will do?</w:t>
            </w:r>
            <w:r>
              <w:rPr>
                <w:rFonts w:ascii="Arial" w:hAnsi="Arial" w:cs="Arial"/>
                <w:sz w:val="20"/>
                <w:szCs w:val="20"/>
              </w:rPr>
              <w:t xml:space="preserve"> (Yes). </w:t>
            </w:r>
          </w:p>
        </w:tc>
      </w:tr>
      <w:tr w:rsidR="00174B0D" w:rsidRPr="002850DF" w:rsidTr="0049507C">
        <w:tc>
          <w:tcPr>
            <w:tcW w:w="1418" w:type="dxa"/>
            <w:shd w:val="clear" w:color="auto" w:fill="F2F2F2"/>
          </w:tcPr>
          <w:p w:rsidR="00174B0D" w:rsidRDefault="00174B0D" w:rsidP="008B437B">
            <w:pPr>
              <w:spacing w:before="120" w:after="120"/>
              <w:rPr>
                <w:rFonts w:ascii="Arial" w:hAnsi="Arial" w:cs="Arial"/>
                <w:b/>
                <w:i/>
                <w:sz w:val="20"/>
              </w:rPr>
            </w:pPr>
            <w:r>
              <w:rPr>
                <w:rFonts w:ascii="Arial" w:hAnsi="Arial" w:cs="Arial"/>
                <w:b/>
                <w:i/>
                <w:sz w:val="20"/>
              </w:rPr>
              <w:t>Technology Vendors</w:t>
            </w:r>
          </w:p>
        </w:tc>
        <w:tc>
          <w:tcPr>
            <w:tcW w:w="8050" w:type="dxa"/>
            <w:shd w:val="clear" w:color="auto" w:fill="DBE5F1"/>
          </w:tcPr>
          <w:p w:rsidR="00174B0D" w:rsidRPr="008A1317" w:rsidRDefault="008A1317" w:rsidP="00A53D0F">
            <w:pPr>
              <w:numPr>
                <w:ilvl w:val="0"/>
                <w:numId w:val="8"/>
              </w:numPr>
              <w:spacing w:before="120" w:after="120"/>
              <w:ind w:left="357" w:hanging="357"/>
              <w:rPr>
                <w:rFonts w:ascii="Arial" w:hAnsi="Arial" w:cs="Arial"/>
                <w:sz w:val="20"/>
                <w:szCs w:val="20"/>
                <w:lang w:val="en-CA"/>
              </w:rPr>
            </w:pPr>
            <w:r w:rsidRPr="008A1317">
              <w:rPr>
                <w:rFonts w:ascii="Arial" w:hAnsi="Arial" w:cs="Arial"/>
                <w:sz w:val="20"/>
                <w:szCs w:val="20"/>
              </w:rPr>
              <w:t>You could leverage the existing MDMR to collect and use data so that it is not a burden on the utilities</w:t>
            </w:r>
            <w:r>
              <w:rPr>
                <w:rFonts w:ascii="Arial" w:hAnsi="Arial" w:cs="Arial"/>
                <w:sz w:val="20"/>
                <w:szCs w:val="20"/>
              </w:rPr>
              <w:t xml:space="preserve">. </w:t>
            </w:r>
          </w:p>
          <w:p w:rsidR="008A1317" w:rsidRPr="008A1317" w:rsidRDefault="008A1317" w:rsidP="00A53D0F">
            <w:pPr>
              <w:numPr>
                <w:ilvl w:val="0"/>
                <w:numId w:val="8"/>
              </w:numPr>
              <w:spacing w:before="120" w:after="120"/>
              <w:ind w:left="357" w:hanging="357"/>
              <w:rPr>
                <w:rFonts w:ascii="Arial" w:hAnsi="Arial" w:cs="Arial"/>
                <w:sz w:val="20"/>
                <w:szCs w:val="20"/>
                <w:lang w:val="en-CA"/>
              </w:rPr>
            </w:pPr>
            <w:r w:rsidRPr="008A1317">
              <w:rPr>
                <w:rFonts w:ascii="Arial" w:hAnsi="Arial" w:cs="Arial"/>
                <w:sz w:val="20"/>
                <w:szCs w:val="20"/>
              </w:rPr>
              <w:t>Data isn’t given to retailers like it is to LDCs</w:t>
            </w:r>
            <w:r>
              <w:rPr>
                <w:rFonts w:ascii="Arial" w:hAnsi="Arial" w:cs="Arial"/>
                <w:sz w:val="20"/>
                <w:szCs w:val="20"/>
              </w:rPr>
              <w:t xml:space="preserve">. </w:t>
            </w:r>
            <w:r w:rsidRPr="008A1317">
              <w:rPr>
                <w:rFonts w:ascii="Arial" w:hAnsi="Arial" w:cs="Arial"/>
                <w:sz w:val="20"/>
                <w:szCs w:val="20"/>
              </w:rPr>
              <w:t>We need data to bill and settle on a product that I’m offering.</w:t>
            </w:r>
            <w:r>
              <w:rPr>
                <w:rFonts w:ascii="Arial" w:hAnsi="Arial" w:cs="Arial"/>
                <w:sz w:val="20"/>
                <w:szCs w:val="20"/>
              </w:rPr>
              <w:t xml:space="preserve"> </w:t>
            </w:r>
            <w:r w:rsidRPr="008A1317">
              <w:rPr>
                <w:rFonts w:ascii="Arial" w:hAnsi="Arial" w:cs="Arial"/>
                <w:sz w:val="20"/>
                <w:szCs w:val="20"/>
              </w:rPr>
              <w:t xml:space="preserve">We have access to customer data </w:t>
            </w:r>
            <w:proofErr w:type="gramStart"/>
            <w:r w:rsidRPr="008A1317">
              <w:rPr>
                <w:rFonts w:ascii="Arial" w:hAnsi="Arial" w:cs="Arial"/>
                <w:sz w:val="20"/>
                <w:szCs w:val="20"/>
              </w:rPr>
              <w:t>today,</w:t>
            </w:r>
            <w:proofErr w:type="gramEnd"/>
            <w:r w:rsidRPr="008A1317">
              <w:rPr>
                <w:rFonts w:ascii="Arial" w:hAnsi="Arial" w:cs="Arial"/>
                <w:sz w:val="20"/>
                <w:szCs w:val="20"/>
              </w:rPr>
              <w:t xml:space="preserve"> we just don’t have it to the level of detail that is required to offer certain projects</w:t>
            </w:r>
            <w:r w:rsidR="00834C50">
              <w:rPr>
                <w:rFonts w:ascii="Arial" w:hAnsi="Arial" w:cs="Arial"/>
                <w:sz w:val="20"/>
                <w:szCs w:val="20"/>
              </w:rPr>
              <w:t xml:space="preserve">. </w:t>
            </w:r>
          </w:p>
          <w:p w:rsidR="008A1317" w:rsidRPr="00834C50" w:rsidRDefault="008A1317" w:rsidP="00A53D0F">
            <w:pPr>
              <w:pStyle w:val="ListParagraph"/>
              <w:numPr>
                <w:ilvl w:val="0"/>
                <w:numId w:val="8"/>
              </w:numPr>
              <w:spacing w:before="120" w:after="120"/>
              <w:ind w:left="357" w:hanging="357"/>
              <w:contextualSpacing w:val="0"/>
              <w:rPr>
                <w:rFonts w:ascii="Arial" w:hAnsi="Arial" w:cs="Arial"/>
                <w:sz w:val="20"/>
                <w:szCs w:val="20"/>
              </w:rPr>
            </w:pPr>
            <w:r w:rsidRPr="00834C50">
              <w:rPr>
                <w:rFonts w:ascii="Arial" w:hAnsi="Arial" w:cs="Arial"/>
                <w:sz w:val="20"/>
                <w:szCs w:val="20"/>
              </w:rPr>
              <w:t>Customer may want retailer to have access to the data, and may not want LDC to have access to it at all. There may be an ecosystem BTM that we haven’t even thought of yet</w:t>
            </w:r>
            <w:r w:rsidR="00834C50">
              <w:rPr>
                <w:rFonts w:ascii="Arial" w:hAnsi="Arial" w:cs="Arial"/>
                <w:sz w:val="20"/>
                <w:szCs w:val="20"/>
              </w:rPr>
              <w:t xml:space="preserve">. </w:t>
            </w:r>
          </w:p>
          <w:p w:rsidR="008A1317" w:rsidRPr="00D569EE" w:rsidRDefault="00D569EE" w:rsidP="00A53D0F">
            <w:pPr>
              <w:numPr>
                <w:ilvl w:val="0"/>
                <w:numId w:val="8"/>
              </w:numPr>
              <w:spacing w:before="120" w:after="120"/>
              <w:ind w:left="357" w:hanging="357"/>
              <w:rPr>
                <w:rFonts w:ascii="Arial" w:hAnsi="Arial" w:cs="Arial"/>
                <w:sz w:val="20"/>
                <w:szCs w:val="20"/>
                <w:lang w:val="en-CA"/>
              </w:rPr>
            </w:pPr>
            <w:r w:rsidRPr="00D569EE">
              <w:rPr>
                <w:rFonts w:ascii="Arial" w:hAnsi="Arial" w:cs="Arial"/>
                <w:sz w:val="20"/>
                <w:szCs w:val="20"/>
              </w:rPr>
              <w:t xml:space="preserve">There is a lot that can be done here.  It’s about educating consumers to push into </w:t>
            </w:r>
            <w:r w:rsidRPr="00D569EE">
              <w:rPr>
                <w:rFonts w:ascii="Arial" w:hAnsi="Arial" w:cs="Arial"/>
                <w:sz w:val="20"/>
                <w:szCs w:val="20"/>
              </w:rPr>
              <w:lastRenderedPageBreak/>
              <w:t>the mode of conservation.  Not clear yet on how the data should be made available</w:t>
            </w:r>
            <w:r w:rsidR="00834C50">
              <w:rPr>
                <w:rFonts w:ascii="Arial" w:hAnsi="Arial" w:cs="Arial"/>
                <w:sz w:val="20"/>
                <w:szCs w:val="20"/>
              </w:rPr>
              <w:t xml:space="preserve">. </w:t>
            </w:r>
          </w:p>
          <w:p w:rsidR="00D569EE" w:rsidRPr="00D569EE" w:rsidRDefault="00D569EE" w:rsidP="00A53D0F">
            <w:pPr>
              <w:numPr>
                <w:ilvl w:val="0"/>
                <w:numId w:val="8"/>
              </w:numPr>
              <w:spacing w:before="120" w:after="120"/>
              <w:ind w:left="357" w:hanging="357"/>
              <w:rPr>
                <w:rFonts w:ascii="Arial" w:hAnsi="Arial" w:cs="Arial"/>
                <w:sz w:val="20"/>
                <w:szCs w:val="20"/>
                <w:lang w:val="en-CA"/>
              </w:rPr>
            </w:pPr>
            <w:r>
              <w:rPr>
                <w:rFonts w:ascii="Arial" w:hAnsi="Arial" w:cs="Arial"/>
                <w:sz w:val="20"/>
                <w:szCs w:val="20"/>
              </w:rPr>
              <w:t>MDM/R capability to provide one-window access to customer data is n</w:t>
            </w:r>
            <w:r w:rsidRPr="00D569EE">
              <w:rPr>
                <w:rFonts w:ascii="Arial" w:hAnsi="Arial" w:cs="Arial"/>
                <w:sz w:val="20"/>
                <w:szCs w:val="20"/>
              </w:rPr>
              <w:t>ot there today, but this capability could be there</w:t>
            </w:r>
            <w:r>
              <w:rPr>
                <w:rFonts w:ascii="Arial" w:hAnsi="Arial" w:cs="Arial"/>
                <w:sz w:val="20"/>
                <w:szCs w:val="20"/>
              </w:rPr>
              <w:t xml:space="preserve">. </w:t>
            </w:r>
            <w:r w:rsidRPr="00D569EE">
              <w:rPr>
                <w:rFonts w:ascii="Arial" w:hAnsi="Arial" w:cs="Arial"/>
                <w:sz w:val="20"/>
                <w:szCs w:val="20"/>
              </w:rPr>
              <w:t>But it would be one entity making these upgrades rather than a number of utilities</w:t>
            </w:r>
            <w:r>
              <w:rPr>
                <w:rFonts w:ascii="Arial" w:hAnsi="Arial" w:cs="Arial"/>
                <w:sz w:val="20"/>
                <w:szCs w:val="20"/>
              </w:rPr>
              <w:t xml:space="preserve">. </w:t>
            </w:r>
          </w:p>
          <w:p w:rsidR="00D569EE" w:rsidRPr="00D569EE" w:rsidRDefault="00D569EE" w:rsidP="00A53D0F">
            <w:pPr>
              <w:numPr>
                <w:ilvl w:val="0"/>
                <w:numId w:val="8"/>
              </w:numPr>
              <w:spacing w:before="120" w:after="120"/>
              <w:ind w:left="357" w:hanging="357"/>
              <w:rPr>
                <w:rFonts w:ascii="Arial" w:hAnsi="Arial" w:cs="Arial"/>
                <w:sz w:val="20"/>
                <w:szCs w:val="20"/>
                <w:lang w:val="en-CA"/>
              </w:rPr>
            </w:pPr>
            <w:r w:rsidRPr="00D569EE">
              <w:rPr>
                <w:rFonts w:ascii="Arial" w:hAnsi="Arial" w:cs="Arial"/>
                <w:sz w:val="20"/>
                <w:szCs w:val="20"/>
              </w:rPr>
              <w:t xml:space="preserve">Let’s say the NIST framework becomes the standard, </w:t>
            </w:r>
            <w:proofErr w:type="gramStart"/>
            <w:r w:rsidRPr="00D569EE">
              <w:rPr>
                <w:rFonts w:ascii="Arial" w:hAnsi="Arial" w:cs="Arial"/>
                <w:sz w:val="20"/>
                <w:szCs w:val="20"/>
              </w:rPr>
              <w:t>then</w:t>
            </w:r>
            <w:proofErr w:type="gramEnd"/>
            <w:r w:rsidRPr="00D569EE">
              <w:rPr>
                <w:rFonts w:ascii="Arial" w:hAnsi="Arial" w:cs="Arial"/>
                <w:sz w:val="20"/>
                <w:szCs w:val="20"/>
              </w:rPr>
              <w:t xml:space="preserve"> there already is a standard on access to data to the ESI</w:t>
            </w:r>
            <w:r w:rsidR="00834C50">
              <w:rPr>
                <w:rFonts w:ascii="Arial" w:hAnsi="Arial" w:cs="Arial"/>
                <w:sz w:val="20"/>
                <w:szCs w:val="20"/>
              </w:rPr>
              <w:t>.</w:t>
            </w:r>
          </w:p>
          <w:p w:rsidR="00D569EE" w:rsidRPr="00C76EAA" w:rsidRDefault="00D569EE" w:rsidP="00A53D0F">
            <w:pPr>
              <w:numPr>
                <w:ilvl w:val="0"/>
                <w:numId w:val="8"/>
              </w:numPr>
              <w:spacing w:before="120" w:after="120"/>
              <w:ind w:left="357" w:hanging="357"/>
              <w:rPr>
                <w:rFonts w:ascii="Arial" w:hAnsi="Arial" w:cs="Arial"/>
                <w:sz w:val="20"/>
                <w:szCs w:val="20"/>
                <w:lang w:val="en-CA"/>
              </w:rPr>
            </w:pPr>
            <w:r w:rsidRPr="00D569EE">
              <w:rPr>
                <w:rFonts w:ascii="Arial" w:hAnsi="Arial" w:cs="Arial"/>
                <w:sz w:val="20"/>
                <w:szCs w:val="20"/>
              </w:rPr>
              <w:t xml:space="preserve">We should have real time access even at the residential level. One of the </w:t>
            </w:r>
            <w:proofErr w:type="gramStart"/>
            <w:r w:rsidRPr="00D569EE">
              <w:rPr>
                <w:rFonts w:ascii="Arial" w:hAnsi="Arial" w:cs="Arial"/>
                <w:sz w:val="20"/>
                <w:szCs w:val="20"/>
              </w:rPr>
              <w:t>promise</w:t>
            </w:r>
            <w:proofErr w:type="gramEnd"/>
            <w:r w:rsidRPr="00D569EE">
              <w:rPr>
                <w:rFonts w:ascii="Arial" w:hAnsi="Arial" w:cs="Arial"/>
                <w:sz w:val="20"/>
                <w:szCs w:val="20"/>
              </w:rPr>
              <w:t xml:space="preserve"> of the whole SG architecture that will leverage this data in real time</w:t>
            </w:r>
            <w:r w:rsidR="00834C50">
              <w:rPr>
                <w:rFonts w:ascii="Arial" w:hAnsi="Arial" w:cs="Arial"/>
                <w:sz w:val="20"/>
                <w:szCs w:val="20"/>
              </w:rPr>
              <w:t>.</w:t>
            </w:r>
          </w:p>
          <w:p w:rsidR="00C76EAA" w:rsidRPr="00A53D0F" w:rsidRDefault="00C76EAA" w:rsidP="00A53D0F">
            <w:pPr>
              <w:pStyle w:val="ListParagraph"/>
              <w:numPr>
                <w:ilvl w:val="0"/>
                <w:numId w:val="8"/>
              </w:numPr>
              <w:spacing w:before="120" w:after="120"/>
              <w:ind w:left="357" w:hanging="357"/>
              <w:contextualSpacing w:val="0"/>
              <w:rPr>
                <w:rFonts w:ascii="Arial" w:hAnsi="Arial" w:cs="Arial"/>
                <w:sz w:val="20"/>
                <w:szCs w:val="20"/>
                <w:lang w:val="en-CA"/>
              </w:rPr>
            </w:pPr>
            <w:r w:rsidRPr="00C76EAA">
              <w:rPr>
                <w:rFonts w:ascii="Arial" w:hAnsi="Arial" w:cs="Arial"/>
                <w:sz w:val="20"/>
                <w:szCs w:val="20"/>
                <w:lang w:val="en-CA"/>
              </w:rPr>
              <w:t>As the SG implementation and rollout occurs across Ontario, that architecture should not create an inability to have access to data at the meter level / and behind the meter</w:t>
            </w:r>
            <w:r w:rsidR="00834C50">
              <w:rPr>
                <w:rFonts w:ascii="Arial" w:hAnsi="Arial" w:cs="Arial"/>
                <w:sz w:val="20"/>
                <w:szCs w:val="20"/>
                <w:lang w:val="en-CA"/>
              </w:rPr>
              <w:t>.</w:t>
            </w:r>
          </w:p>
        </w:tc>
      </w:tr>
      <w:tr w:rsidR="00174B0D" w:rsidRPr="002850DF" w:rsidTr="00D627E6">
        <w:tc>
          <w:tcPr>
            <w:tcW w:w="1418" w:type="dxa"/>
            <w:shd w:val="clear" w:color="auto" w:fill="F2F2F2"/>
          </w:tcPr>
          <w:p w:rsidR="00174B0D" w:rsidRPr="00976945" w:rsidRDefault="00174B0D" w:rsidP="00976945">
            <w:pPr>
              <w:spacing w:before="120" w:after="120"/>
              <w:rPr>
                <w:rFonts w:ascii="Arial" w:hAnsi="Arial" w:cs="Arial"/>
                <w:b/>
                <w:i/>
                <w:sz w:val="20"/>
              </w:rPr>
            </w:pPr>
            <w:r w:rsidRPr="00976945">
              <w:rPr>
                <w:rFonts w:ascii="Arial" w:hAnsi="Arial" w:cs="Arial"/>
                <w:b/>
                <w:i/>
                <w:sz w:val="20"/>
              </w:rPr>
              <w:lastRenderedPageBreak/>
              <w:t>Consumer Groups</w:t>
            </w:r>
          </w:p>
        </w:tc>
        <w:tc>
          <w:tcPr>
            <w:tcW w:w="8050" w:type="dxa"/>
            <w:shd w:val="clear" w:color="auto" w:fill="DBE5F1"/>
            <w:vAlign w:val="center"/>
          </w:tcPr>
          <w:p w:rsidR="00BA5B76" w:rsidRPr="00BA5B76" w:rsidRDefault="00BA5B76" w:rsidP="00A53D0F">
            <w:pPr>
              <w:pStyle w:val="ListParagraph"/>
              <w:numPr>
                <w:ilvl w:val="0"/>
                <w:numId w:val="9"/>
              </w:numPr>
              <w:spacing w:before="120" w:after="120"/>
              <w:ind w:left="357" w:hanging="357"/>
              <w:contextualSpacing w:val="0"/>
              <w:rPr>
                <w:rFonts w:ascii="Arial" w:hAnsi="Arial" w:cs="Arial"/>
                <w:sz w:val="20"/>
                <w:szCs w:val="20"/>
                <w:lang w:val="en-CA"/>
              </w:rPr>
            </w:pPr>
            <w:r w:rsidRPr="00BA5B76">
              <w:rPr>
                <w:rFonts w:ascii="Arial" w:hAnsi="Arial" w:cs="Arial"/>
                <w:sz w:val="20"/>
                <w:szCs w:val="20"/>
                <w:lang w:val="en-CA"/>
              </w:rPr>
              <w:t xml:space="preserve">There is customer access to </w:t>
            </w:r>
            <w:proofErr w:type="gramStart"/>
            <w:r w:rsidRPr="00BA5B76">
              <w:rPr>
                <w:rFonts w:ascii="Arial" w:hAnsi="Arial" w:cs="Arial"/>
                <w:sz w:val="20"/>
                <w:szCs w:val="20"/>
                <w:lang w:val="en-CA"/>
              </w:rPr>
              <w:t>their own</w:t>
            </w:r>
            <w:proofErr w:type="gramEnd"/>
            <w:r w:rsidRPr="00BA5B76">
              <w:rPr>
                <w:rFonts w:ascii="Arial" w:hAnsi="Arial" w:cs="Arial"/>
                <w:sz w:val="20"/>
                <w:szCs w:val="20"/>
                <w:lang w:val="en-CA"/>
              </w:rPr>
              <w:t xml:space="preserve"> data, and access of others to the data of customers outside of the LDC.  Please speak to this.  I believe customer access to data is foundational because it deals with privacy.</w:t>
            </w:r>
          </w:p>
          <w:p w:rsidR="00BA5B76" w:rsidRPr="00BA5B76" w:rsidRDefault="00BA5B76" w:rsidP="00A53D0F">
            <w:pPr>
              <w:pStyle w:val="ListParagraph"/>
              <w:numPr>
                <w:ilvl w:val="0"/>
                <w:numId w:val="9"/>
              </w:numPr>
              <w:spacing w:before="120" w:after="120"/>
              <w:ind w:left="357" w:hanging="357"/>
              <w:contextualSpacing w:val="0"/>
              <w:rPr>
                <w:rFonts w:ascii="Arial" w:hAnsi="Arial" w:cs="Arial"/>
                <w:sz w:val="20"/>
                <w:szCs w:val="20"/>
                <w:lang w:val="en-CA"/>
              </w:rPr>
            </w:pPr>
            <w:r w:rsidRPr="00BA5B76">
              <w:rPr>
                <w:rFonts w:ascii="Arial" w:hAnsi="Arial" w:cs="Arial"/>
                <w:sz w:val="20"/>
                <w:szCs w:val="20"/>
                <w:lang w:val="en-CA"/>
              </w:rPr>
              <w:t>Think it’s foundational that customer gets access to data.  Banking data is protected; we are looking at the same thing.  How does the utility ensure the privacy is there? Being able to access data and remove the barriers so that data is readily available and practical to access it</w:t>
            </w:r>
            <w:r w:rsidR="00834C50">
              <w:rPr>
                <w:rFonts w:ascii="Arial" w:hAnsi="Arial" w:cs="Arial"/>
                <w:sz w:val="20"/>
                <w:szCs w:val="20"/>
                <w:lang w:val="en-CA"/>
              </w:rPr>
              <w:t>.</w:t>
            </w:r>
          </w:p>
          <w:p w:rsidR="00BA5B76" w:rsidRDefault="00BA5B76" w:rsidP="00A53D0F">
            <w:pPr>
              <w:numPr>
                <w:ilvl w:val="0"/>
                <w:numId w:val="9"/>
              </w:numPr>
              <w:spacing w:before="120" w:after="120"/>
              <w:ind w:left="357" w:hanging="357"/>
              <w:rPr>
                <w:rFonts w:ascii="Arial" w:hAnsi="Arial" w:cs="Arial"/>
                <w:sz w:val="20"/>
                <w:szCs w:val="20"/>
                <w:lang w:val="en-CA"/>
              </w:rPr>
            </w:pPr>
            <w:r w:rsidRPr="00BA5B76">
              <w:rPr>
                <w:rFonts w:ascii="Arial" w:hAnsi="Arial" w:cs="Arial"/>
                <w:sz w:val="20"/>
                <w:szCs w:val="20"/>
                <w:lang w:val="en-CA"/>
              </w:rPr>
              <w:t>Board has never been good at picking winners.  Don’t want to pick a winner. Want to make sure that we have the principles: data availability, etc.</w:t>
            </w:r>
          </w:p>
          <w:p w:rsidR="00BA5B76" w:rsidRPr="00BA5B76" w:rsidRDefault="00BA5B76" w:rsidP="00A53D0F">
            <w:pPr>
              <w:numPr>
                <w:ilvl w:val="0"/>
                <w:numId w:val="9"/>
              </w:numPr>
              <w:spacing w:before="120" w:after="120"/>
              <w:ind w:left="357" w:hanging="357"/>
              <w:rPr>
                <w:rFonts w:ascii="Arial" w:hAnsi="Arial" w:cs="Arial"/>
                <w:sz w:val="20"/>
                <w:szCs w:val="20"/>
                <w:lang w:val="en-CA"/>
              </w:rPr>
            </w:pPr>
            <w:r w:rsidRPr="00BA5B76">
              <w:rPr>
                <w:rFonts w:ascii="Arial" w:hAnsi="Arial" w:cs="Arial"/>
                <w:sz w:val="20"/>
                <w:szCs w:val="20"/>
                <w:lang w:val="en-CA"/>
              </w:rPr>
              <w:t>Banking, transactions are shared with no-one else.  What is the extent to which the utility can use that data…for just the utility business or to facilitate other business?</w:t>
            </w:r>
          </w:p>
          <w:p w:rsidR="00BA5B76" w:rsidRPr="00BA5B76" w:rsidRDefault="00BA5B76" w:rsidP="00A53D0F">
            <w:pPr>
              <w:numPr>
                <w:ilvl w:val="0"/>
                <w:numId w:val="9"/>
              </w:numPr>
              <w:spacing w:before="120" w:after="120"/>
              <w:ind w:left="357" w:hanging="357"/>
              <w:rPr>
                <w:rFonts w:ascii="Arial" w:hAnsi="Arial" w:cs="Arial"/>
                <w:sz w:val="20"/>
                <w:szCs w:val="20"/>
                <w:lang w:val="en-CA"/>
              </w:rPr>
            </w:pPr>
            <w:r w:rsidRPr="00BA5B76">
              <w:rPr>
                <w:rFonts w:ascii="Arial" w:hAnsi="Arial" w:cs="Arial"/>
                <w:sz w:val="20"/>
                <w:szCs w:val="20"/>
                <w:lang w:val="en-CA"/>
              </w:rPr>
              <w:t xml:space="preserve">Doesn’t customer ownership of data underscore all of </w:t>
            </w:r>
            <w:proofErr w:type="gramStart"/>
            <w:r w:rsidRPr="00BA5B76">
              <w:rPr>
                <w:rFonts w:ascii="Arial" w:hAnsi="Arial" w:cs="Arial"/>
                <w:sz w:val="20"/>
                <w:szCs w:val="20"/>
                <w:lang w:val="en-CA"/>
              </w:rPr>
              <w:t>this.</w:t>
            </w:r>
            <w:proofErr w:type="gramEnd"/>
            <w:r w:rsidRPr="00BA5B76">
              <w:rPr>
                <w:rFonts w:ascii="Arial" w:hAnsi="Arial" w:cs="Arial"/>
                <w:sz w:val="20"/>
                <w:szCs w:val="20"/>
                <w:lang w:val="en-CA"/>
              </w:rPr>
              <w:t xml:space="preserve">  Customer must permit anyone else to access the data . . . Dr. </w:t>
            </w:r>
            <w:proofErr w:type="spellStart"/>
            <w:r w:rsidRPr="00BA5B76">
              <w:rPr>
                <w:rFonts w:ascii="Arial" w:hAnsi="Arial" w:cs="Arial"/>
                <w:sz w:val="20"/>
                <w:szCs w:val="20"/>
                <w:lang w:val="en-CA"/>
              </w:rPr>
              <w:t>Kavoukian</w:t>
            </w:r>
            <w:proofErr w:type="spellEnd"/>
            <w:r w:rsidRPr="00BA5B76">
              <w:rPr>
                <w:rFonts w:ascii="Arial" w:hAnsi="Arial" w:cs="Arial"/>
                <w:sz w:val="20"/>
                <w:szCs w:val="20"/>
                <w:lang w:val="en-CA"/>
              </w:rPr>
              <w:t xml:space="preserve"> says that the customer owns the data, utility has right to access</w:t>
            </w:r>
            <w:r>
              <w:rPr>
                <w:rFonts w:ascii="Arial" w:hAnsi="Arial" w:cs="Arial"/>
                <w:sz w:val="20"/>
                <w:szCs w:val="20"/>
                <w:lang w:val="en-CA"/>
              </w:rPr>
              <w:t xml:space="preserve"> it. </w:t>
            </w:r>
            <w:r w:rsidRPr="00BA5B76">
              <w:rPr>
                <w:rFonts w:ascii="Arial" w:hAnsi="Arial" w:cs="Arial"/>
                <w:sz w:val="20"/>
                <w:szCs w:val="20"/>
                <w:lang w:val="en-CA"/>
              </w:rPr>
              <w:t xml:space="preserve">   </w:t>
            </w:r>
          </w:p>
          <w:p w:rsidR="008A1317" w:rsidRPr="00A53D0F" w:rsidRDefault="008A1317" w:rsidP="00A53D0F">
            <w:pPr>
              <w:pStyle w:val="ListParagraph"/>
              <w:numPr>
                <w:ilvl w:val="0"/>
                <w:numId w:val="9"/>
              </w:numPr>
              <w:spacing w:before="120" w:after="120"/>
              <w:ind w:left="357" w:hanging="357"/>
              <w:contextualSpacing w:val="0"/>
              <w:rPr>
                <w:rFonts w:ascii="Arial" w:hAnsi="Arial" w:cs="Arial"/>
                <w:sz w:val="20"/>
                <w:szCs w:val="20"/>
              </w:rPr>
            </w:pPr>
            <w:r w:rsidRPr="00A53D0F">
              <w:rPr>
                <w:rFonts w:ascii="Arial" w:hAnsi="Arial" w:cs="Arial"/>
                <w:sz w:val="20"/>
                <w:szCs w:val="20"/>
              </w:rPr>
              <w:t xml:space="preserve">Last time we talk about the benefit of real time monitoring, it was said that we weren’t on the same page.  Customer should get access to data and should get it in real-time, at least for the commercial and industrial markets.  </w:t>
            </w:r>
            <w:proofErr w:type="gramStart"/>
            <w:r w:rsidRPr="00A53D0F">
              <w:rPr>
                <w:rFonts w:ascii="Arial" w:hAnsi="Arial" w:cs="Arial"/>
                <w:sz w:val="20"/>
                <w:szCs w:val="20"/>
              </w:rPr>
              <w:t>Technology exist</w:t>
            </w:r>
            <w:proofErr w:type="gramEnd"/>
            <w:r w:rsidRPr="00A53D0F">
              <w:rPr>
                <w:rFonts w:ascii="Arial" w:hAnsi="Arial" w:cs="Arial"/>
                <w:sz w:val="20"/>
                <w:szCs w:val="20"/>
              </w:rPr>
              <w:t xml:space="preserve"> and benefits are proven; especially considering Global Adjustment class A and B make it more important.  Don’t want something like Green button to threaten this</w:t>
            </w:r>
            <w:r w:rsidR="00834C50">
              <w:rPr>
                <w:rFonts w:ascii="Arial" w:hAnsi="Arial" w:cs="Arial"/>
                <w:sz w:val="20"/>
                <w:szCs w:val="20"/>
              </w:rPr>
              <w:t>.</w:t>
            </w:r>
          </w:p>
          <w:p w:rsidR="00174B0D" w:rsidRDefault="008A1317" w:rsidP="00A53D0F">
            <w:pPr>
              <w:numPr>
                <w:ilvl w:val="0"/>
                <w:numId w:val="9"/>
              </w:numPr>
              <w:spacing w:before="120" w:after="120"/>
              <w:ind w:left="357" w:hanging="357"/>
              <w:rPr>
                <w:rFonts w:ascii="Arial" w:hAnsi="Arial" w:cs="Arial"/>
                <w:sz w:val="20"/>
                <w:szCs w:val="20"/>
              </w:rPr>
            </w:pPr>
            <w:r w:rsidRPr="008A1317">
              <w:rPr>
                <w:rFonts w:ascii="Arial" w:hAnsi="Arial" w:cs="Arial"/>
                <w:sz w:val="20"/>
                <w:szCs w:val="20"/>
              </w:rPr>
              <w:t xml:space="preserve">Board’s responsibility should be </w:t>
            </w:r>
            <w:proofErr w:type="spellStart"/>
            <w:r w:rsidRPr="008A1317">
              <w:rPr>
                <w:rFonts w:ascii="Arial" w:hAnsi="Arial" w:cs="Arial"/>
                <w:sz w:val="20"/>
                <w:szCs w:val="20"/>
              </w:rPr>
              <w:t>primarly</w:t>
            </w:r>
            <w:proofErr w:type="spellEnd"/>
            <w:r w:rsidRPr="008A1317">
              <w:rPr>
                <w:rFonts w:ascii="Arial" w:hAnsi="Arial" w:cs="Arial"/>
                <w:sz w:val="20"/>
                <w:szCs w:val="20"/>
              </w:rPr>
              <w:t xml:space="preserve"> to the rate payer</w:t>
            </w:r>
            <w:r>
              <w:rPr>
                <w:rFonts w:ascii="Arial" w:hAnsi="Arial" w:cs="Arial"/>
                <w:sz w:val="20"/>
                <w:szCs w:val="20"/>
              </w:rPr>
              <w:t xml:space="preserve">. </w:t>
            </w:r>
            <w:r w:rsidRPr="008A1317">
              <w:rPr>
                <w:rFonts w:ascii="Arial" w:hAnsi="Arial" w:cs="Arial"/>
                <w:sz w:val="20"/>
                <w:szCs w:val="20"/>
              </w:rPr>
              <w:t>If the utility installed meters that don’t allow the customer to get access to their data, the utility should have to go back to replace this meter with one that gives access.</w:t>
            </w:r>
          </w:p>
          <w:p w:rsidR="008A1317" w:rsidRDefault="008A1317" w:rsidP="00A53D0F">
            <w:pPr>
              <w:numPr>
                <w:ilvl w:val="0"/>
                <w:numId w:val="9"/>
              </w:numPr>
              <w:spacing w:before="120" w:after="120"/>
              <w:ind w:left="357" w:hanging="357"/>
              <w:rPr>
                <w:rFonts w:ascii="Arial" w:hAnsi="Arial" w:cs="Arial"/>
                <w:sz w:val="20"/>
                <w:szCs w:val="20"/>
              </w:rPr>
            </w:pPr>
            <w:r w:rsidRPr="008A1317">
              <w:rPr>
                <w:rFonts w:ascii="Arial" w:hAnsi="Arial" w:cs="Arial"/>
                <w:sz w:val="20"/>
                <w:szCs w:val="20"/>
              </w:rPr>
              <w:t>Non electric utility we have dealt with had a Green Button type solution, and this was promised for 2011 and is now forecasted for 2013.  We shouldn’t pick a winner because the marketplace can come up with a solution faster than regulation</w:t>
            </w:r>
            <w:r w:rsidR="00834C50">
              <w:rPr>
                <w:rFonts w:ascii="Arial" w:hAnsi="Arial" w:cs="Arial"/>
                <w:sz w:val="20"/>
                <w:szCs w:val="20"/>
              </w:rPr>
              <w:t>.</w:t>
            </w:r>
          </w:p>
          <w:p w:rsidR="008A1317" w:rsidRPr="00A53D0F" w:rsidRDefault="008A1317" w:rsidP="00A53D0F">
            <w:pPr>
              <w:pStyle w:val="ListParagraph"/>
              <w:numPr>
                <w:ilvl w:val="0"/>
                <w:numId w:val="9"/>
              </w:numPr>
              <w:spacing w:before="120" w:after="120"/>
              <w:ind w:left="357" w:hanging="357"/>
              <w:contextualSpacing w:val="0"/>
              <w:rPr>
                <w:rFonts w:ascii="Arial" w:hAnsi="Arial" w:cs="Arial"/>
                <w:sz w:val="20"/>
                <w:szCs w:val="20"/>
              </w:rPr>
            </w:pPr>
            <w:r w:rsidRPr="00A53D0F">
              <w:rPr>
                <w:rFonts w:ascii="Arial" w:hAnsi="Arial" w:cs="Arial"/>
                <w:sz w:val="20"/>
                <w:szCs w:val="20"/>
              </w:rPr>
              <w:t xml:space="preserve">Putting a SM in benefited the utility because they had the detail of data to identify when a customer was down. How far away are other utilities away from giving data to customer like THES? (A: </w:t>
            </w:r>
            <w:r w:rsidR="00834C50">
              <w:rPr>
                <w:rFonts w:ascii="Arial" w:hAnsi="Arial" w:cs="Arial"/>
                <w:sz w:val="20"/>
                <w:szCs w:val="20"/>
              </w:rPr>
              <w:t>most</w:t>
            </w:r>
            <w:r w:rsidRPr="00A53D0F">
              <w:rPr>
                <w:rFonts w:ascii="Arial" w:hAnsi="Arial" w:cs="Arial"/>
                <w:sz w:val="20"/>
                <w:szCs w:val="20"/>
              </w:rPr>
              <w:t xml:space="preserve"> are doing this). </w:t>
            </w:r>
          </w:p>
          <w:p w:rsidR="008A1317" w:rsidRPr="00A53D0F" w:rsidRDefault="00834C50" w:rsidP="00A53D0F">
            <w:pPr>
              <w:numPr>
                <w:ilvl w:val="0"/>
                <w:numId w:val="9"/>
              </w:numPr>
              <w:spacing w:before="120" w:after="120"/>
              <w:ind w:left="357" w:hanging="357"/>
              <w:rPr>
                <w:rFonts w:ascii="Arial" w:hAnsi="Arial" w:cs="Arial"/>
                <w:sz w:val="20"/>
                <w:szCs w:val="20"/>
              </w:rPr>
            </w:pPr>
            <w:r>
              <w:rPr>
                <w:rFonts w:ascii="Arial" w:hAnsi="Arial" w:cs="Arial"/>
                <w:sz w:val="20"/>
                <w:szCs w:val="20"/>
              </w:rPr>
              <w:t>B</w:t>
            </w:r>
            <w:r w:rsidR="00D569EE" w:rsidRPr="00A53D0F">
              <w:rPr>
                <w:rFonts w:ascii="Arial" w:hAnsi="Arial" w:cs="Arial"/>
                <w:sz w:val="20"/>
                <w:szCs w:val="20"/>
              </w:rPr>
              <w:t>illing system goes through MDMR…that’s the only option.</w:t>
            </w:r>
          </w:p>
          <w:p w:rsidR="00D569EE" w:rsidRPr="00A53D0F" w:rsidRDefault="00834C50" w:rsidP="00A53D0F">
            <w:pPr>
              <w:pStyle w:val="ListParagraph"/>
              <w:numPr>
                <w:ilvl w:val="0"/>
                <w:numId w:val="9"/>
              </w:numPr>
              <w:spacing w:before="120" w:after="120"/>
              <w:ind w:left="357" w:hanging="357"/>
              <w:contextualSpacing w:val="0"/>
              <w:rPr>
                <w:rFonts w:ascii="Arial" w:hAnsi="Arial" w:cs="Arial"/>
                <w:sz w:val="20"/>
                <w:szCs w:val="20"/>
              </w:rPr>
            </w:pPr>
            <w:r>
              <w:rPr>
                <w:rFonts w:ascii="Arial" w:hAnsi="Arial" w:cs="Arial"/>
                <w:sz w:val="20"/>
                <w:szCs w:val="20"/>
              </w:rPr>
              <w:t>I</w:t>
            </w:r>
            <w:r w:rsidR="00D569EE" w:rsidRPr="00A53D0F">
              <w:rPr>
                <w:rFonts w:ascii="Arial" w:hAnsi="Arial" w:cs="Arial"/>
                <w:sz w:val="20"/>
                <w:szCs w:val="20"/>
              </w:rPr>
              <w:t>f we are trying to benefit ratepayers and ratepayer have an obsolete meter they should be able to upgrade.</w:t>
            </w:r>
          </w:p>
          <w:p w:rsidR="00D569EE" w:rsidRPr="00525476" w:rsidRDefault="00D569EE" w:rsidP="00A53D0F">
            <w:pPr>
              <w:numPr>
                <w:ilvl w:val="0"/>
                <w:numId w:val="9"/>
              </w:numPr>
              <w:spacing w:before="120" w:after="120"/>
              <w:ind w:left="357" w:hanging="357"/>
              <w:rPr>
                <w:rFonts w:ascii="Arial" w:hAnsi="Arial" w:cs="Arial"/>
                <w:sz w:val="20"/>
                <w:szCs w:val="20"/>
              </w:rPr>
            </w:pPr>
            <w:proofErr w:type="gramStart"/>
            <w:r w:rsidRPr="00D569EE">
              <w:rPr>
                <w:rFonts w:ascii="Arial" w:hAnsi="Arial" w:cs="Arial"/>
                <w:sz w:val="20"/>
                <w:szCs w:val="20"/>
              </w:rPr>
              <w:t>we</w:t>
            </w:r>
            <w:proofErr w:type="gramEnd"/>
            <w:r w:rsidRPr="00D569EE">
              <w:rPr>
                <w:rFonts w:ascii="Arial" w:hAnsi="Arial" w:cs="Arial"/>
                <w:sz w:val="20"/>
                <w:szCs w:val="20"/>
              </w:rPr>
              <w:t xml:space="preserve"> have a lot of not so smart meters out there today. Want to get to bidirectional meters down the road.  Don’t make reinvestments in things that aren’t going to get you where you are going.  Customers who would like to get on a smarter meter, can pay to get their schedule advanced</w:t>
            </w:r>
          </w:p>
        </w:tc>
      </w:tr>
      <w:tr w:rsidR="00174B0D" w:rsidRPr="002850DF" w:rsidTr="00D627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2"/>
        </w:trPr>
        <w:tc>
          <w:tcPr>
            <w:tcW w:w="1418" w:type="dxa"/>
            <w:tcBorders>
              <w:top w:val="single" w:sz="4" w:space="0" w:color="auto"/>
              <w:left w:val="single" w:sz="4" w:space="0" w:color="auto"/>
              <w:bottom w:val="single" w:sz="4" w:space="0" w:color="auto"/>
              <w:right w:val="single" w:sz="4" w:space="0" w:color="auto"/>
            </w:tcBorders>
            <w:shd w:val="clear" w:color="auto" w:fill="F2F2F2"/>
          </w:tcPr>
          <w:p w:rsidR="00174B0D" w:rsidRPr="00976945" w:rsidRDefault="00174B0D" w:rsidP="00976945">
            <w:pPr>
              <w:spacing w:before="120"/>
              <w:ind w:left="360" w:hanging="360"/>
              <w:rPr>
                <w:rFonts w:ascii="Arial" w:hAnsi="Arial" w:cs="Arial"/>
                <w:b/>
                <w:i/>
                <w:sz w:val="20"/>
              </w:rPr>
            </w:pPr>
            <w:r w:rsidRPr="00976945">
              <w:rPr>
                <w:rFonts w:ascii="Arial" w:hAnsi="Arial" w:cs="Arial"/>
                <w:b/>
                <w:i/>
                <w:sz w:val="20"/>
              </w:rPr>
              <w:lastRenderedPageBreak/>
              <w:t>Agencies</w:t>
            </w:r>
          </w:p>
        </w:tc>
        <w:tc>
          <w:tcPr>
            <w:tcW w:w="8050" w:type="dxa"/>
            <w:tcBorders>
              <w:top w:val="single" w:sz="4" w:space="0" w:color="auto"/>
              <w:left w:val="single" w:sz="4" w:space="0" w:color="auto"/>
              <w:bottom w:val="single" w:sz="4" w:space="0" w:color="auto"/>
              <w:right w:val="single" w:sz="4" w:space="0" w:color="auto"/>
            </w:tcBorders>
            <w:shd w:val="clear" w:color="auto" w:fill="DBE5F1"/>
          </w:tcPr>
          <w:p w:rsidR="00174B0D" w:rsidRDefault="00D569EE" w:rsidP="00A53D0F">
            <w:pPr>
              <w:numPr>
                <w:ilvl w:val="0"/>
                <w:numId w:val="9"/>
              </w:numPr>
              <w:tabs>
                <w:tab w:val="clear" w:pos="360"/>
              </w:tabs>
              <w:spacing w:before="120" w:after="120"/>
              <w:ind w:left="357" w:hanging="357"/>
              <w:rPr>
                <w:rFonts w:ascii="Arial" w:hAnsi="Arial" w:cs="Arial"/>
                <w:sz w:val="20"/>
                <w:szCs w:val="20"/>
              </w:rPr>
            </w:pPr>
            <w:r w:rsidRPr="00D569EE">
              <w:rPr>
                <w:rFonts w:ascii="Arial" w:hAnsi="Arial" w:cs="Arial"/>
                <w:sz w:val="20"/>
                <w:szCs w:val="20"/>
              </w:rPr>
              <w:t xml:space="preserve">Understanding that </w:t>
            </w:r>
            <w:r>
              <w:rPr>
                <w:rFonts w:ascii="Arial" w:hAnsi="Arial" w:cs="Arial"/>
                <w:sz w:val="20"/>
                <w:szCs w:val="20"/>
              </w:rPr>
              <w:t>(providing one-window access to data for authorized parties/customers)</w:t>
            </w:r>
            <w:r w:rsidRPr="00D569EE">
              <w:rPr>
                <w:rFonts w:ascii="Arial" w:hAnsi="Arial" w:cs="Arial"/>
                <w:sz w:val="20"/>
                <w:szCs w:val="20"/>
              </w:rPr>
              <w:t xml:space="preserve"> is not a capability of the SME right now</w:t>
            </w:r>
            <w:r>
              <w:rPr>
                <w:rFonts w:ascii="Arial" w:hAnsi="Arial" w:cs="Arial"/>
                <w:sz w:val="20"/>
                <w:szCs w:val="20"/>
              </w:rPr>
              <w:t xml:space="preserve">. </w:t>
            </w:r>
          </w:p>
          <w:p w:rsidR="00D569EE" w:rsidRDefault="00D569EE" w:rsidP="00A53D0F">
            <w:pPr>
              <w:numPr>
                <w:ilvl w:val="0"/>
                <w:numId w:val="9"/>
              </w:numPr>
              <w:tabs>
                <w:tab w:val="clear" w:pos="360"/>
              </w:tabs>
              <w:spacing w:before="120" w:after="120"/>
              <w:ind w:left="357" w:hanging="357"/>
              <w:rPr>
                <w:rFonts w:ascii="Arial" w:hAnsi="Arial" w:cs="Arial"/>
                <w:sz w:val="20"/>
                <w:szCs w:val="20"/>
              </w:rPr>
            </w:pPr>
            <w:r w:rsidRPr="00D569EE">
              <w:rPr>
                <w:rFonts w:ascii="Arial" w:hAnsi="Arial" w:cs="Arial"/>
                <w:sz w:val="20"/>
                <w:szCs w:val="20"/>
              </w:rPr>
              <w:t>Should not limit or 3</w:t>
            </w:r>
            <w:r w:rsidRPr="00D569EE">
              <w:rPr>
                <w:rFonts w:ascii="Arial" w:hAnsi="Arial" w:cs="Arial"/>
                <w:sz w:val="20"/>
                <w:szCs w:val="20"/>
                <w:vertAlign w:val="superscript"/>
              </w:rPr>
              <w:t>rd</w:t>
            </w:r>
            <w:r w:rsidRPr="00D569EE">
              <w:rPr>
                <w:rFonts w:ascii="Arial" w:hAnsi="Arial" w:cs="Arial"/>
                <w:sz w:val="20"/>
                <w:szCs w:val="20"/>
              </w:rPr>
              <w:t xml:space="preserve"> parties and retailers from getting access to data</w:t>
            </w:r>
          </w:p>
        </w:tc>
      </w:tr>
    </w:tbl>
    <w:p w:rsidR="00174B0D" w:rsidRDefault="00174B0D" w:rsidP="00B90C90">
      <w:pPr>
        <w:pStyle w:val="NoSpacing"/>
        <w:spacing w:after="120"/>
        <w:rPr>
          <w:rFonts w:ascii="Arial" w:hAnsi="Arial" w:cs="Arial"/>
          <w:b/>
          <w:i/>
          <w:color w:val="1F497D"/>
        </w:rPr>
      </w:pPr>
    </w:p>
    <w:p w:rsidR="00174B0D" w:rsidRDefault="00174B0D" w:rsidP="007048FB">
      <w:pPr>
        <w:rPr>
          <w:rFonts w:ascii="Arial" w:hAnsi="Arial" w:cs="Arial"/>
          <w:b/>
          <w:i/>
          <w:color w:val="1F497D"/>
        </w:rPr>
      </w:pPr>
      <w:r w:rsidRPr="00E15762">
        <w:rPr>
          <w:rFonts w:ascii="Arial" w:hAnsi="Arial" w:cs="Arial"/>
          <w:b/>
          <w:i/>
          <w:color w:val="1F497D"/>
        </w:rPr>
        <w:t>Next Scheduled Meeting:</w:t>
      </w:r>
    </w:p>
    <w:p w:rsidR="00174B0D" w:rsidRPr="00E15762" w:rsidRDefault="00174B0D" w:rsidP="007048FB">
      <w:pPr>
        <w:rPr>
          <w:rFonts w:ascii="Arial" w:hAnsi="Arial" w:cs="Arial"/>
          <w:b/>
          <w:i/>
          <w:color w:val="1F497D"/>
        </w:rPr>
      </w:pPr>
    </w:p>
    <w:p w:rsidR="00174B0D" w:rsidRPr="00A82CA1" w:rsidRDefault="002F4A79" w:rsidP="002850DF">
      <w:pPr>
        <w:numPr>
          <w:ilvl w:val="0"/>
          <w:numId w:val="1"/>
        </w:numPr>
        <w:rPr>
          <w:rFonts w:ascii="Arial" w:hAnsi="Arial" w:cs="Arial"/>
          <w:i/>
        </w:rPr>
      </w:pPr>
      <w:r>
        <w:rPr>
          <w:rFonts w:ascii="Arial" w:hAnsi="Arial" w:cs="Arial"/>
        </w:rPr>
        <w:t>November 2</w:t>
      </w:r>
      <w:r w:rsidR="004708B3">
        <w:rPr>
          <w:rFonts w:ascii="Arial" w:hAnsi="Arial" w:cs="Arial"/>
        </w:rPr>
        <w:t>0</w:t>
      </w:r>
      <w:r w:rsidR="00174B0D" w:rsidRPr="00A82CA1">
        <w:rPr>
          <w:rFonts w:ascii="Arial" w:hAnsi="Arial" w:cs="Arial"/>
        </w:rPr>
        <w:t>, 201</w:t>
      </w:r>
      <w:r>
        <w:rPr>
          <w:rFonts w:ascii="Arial" w:hAnsi="Arial" w:cs="Arial"/>
        </w:rPr>
        <w:t>2</w:t>
      </w:r>
    </w:p>
    <w:sectPr w:rsidR="00174B0D" w:rsidRPr="00A82CA1" w:rsidSect="002100D8">
      <w:headerReference w:type="even" r:id="rId11"/>
      <w:headerReference w:type="default" r:id="rId12"/>
      <w:footerReference w:type="even" r:id="rId13"/>
      <w:footerReference w:type="default" r:id="rId14"/>
      <w:headerReference w:type="first" r:id="rId15"/>
      <w:footerReference w:type="first" r:id="rId16"/>
      <w:pgSz w:w="12240" w:h="15840"/>
      <w:pgMar w:top="1296"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C50" w:rsidRDefault="00834C50">
      <w:r>
        <w:separator/>
      </w:r>
    </w:p>
  </w:endnote>
  <w:endnote w:type="continuationSeparator" w:id="0">
    <w:p w:rsidR="00834C50" w:rsidRDefault="0083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50" w:rsidRDefault="00834C50" w:rsidP="006C4E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4C50" w:rsidRDefault="00834C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50" w:rsidRPr="009A14AA" w:rsidRDefault="00834C50" w:rsidP="006C4EB6">
    <w:pPr>
      <w:pStyle w:val="Footer"/>
      <w:framePr w:wrap="around" w:vAnchor="text" w:hAnchor="margin" w:xAlign="center" w:y="1"/>
      <w:rPr>
        <w:rStyle w:val="PageNumber"/>
        <w:rFonts w:ascii="Arial" w:hAnsi="Arial" w:cs="Arial"/>
      </w:rPr>
    </w:pPr>
    <w:r w:rsidRPr="009A14AA">
      <w:rPr>
        <w:rStyle w:val="PageNumber"/>
        <w:rFonts w:ascii="Arial" w:hAnsi="Arial" w:cs="Arial"/>
      </w:rPr>
      <w:fldChar w:fldCharType="begin"/>
    </w:r>
    <w:r w:rsidRPr="009A14AA">
      <w:rPr>
        <w:rStyle w:val="PageNumber"/>
        <w:rFonts w:ascii="Arial" w:hAnsi="Arial" w:cs="Arial"/>
      </w:rPr>
      <w:instrText xml:space="preserve">PAGE  </w:instrText>
    </w:r>
    <w:r w:rsidRPr="009A14AA">
      <w:rPr>
        <w:rStyle w:val="PageNumber"/>
        <w:rFonts w:ascii="Arial" w:hAnsi="Arial" w:cs="Arial"/>
      </w:rPr>
      <w:fldChar w:fldCharType="separate"/>
    </w:r>
    <w:r w:rsidR="00127C7E">
      <w:rPr>
        <w:rStyle w:val="PageNumber"/>
        <w:rFonts w:ascii="Arial" w:hAnsi="Arial" w:cs="Arial"/>
        <w:noProof/>
      </w:rPr>
      <w:t>3</w:t>
    </w:r>
    <w:r w:rsidRPr="009A14AA">
      <w:rPr>
        <w:rStyle w:val="PageNumber"/>
        <w:rFonts w:ascii="Arial" w:hAnsi="Arial" w:cs="Arial"/>
      </w:rPr>
      <w:fldChar w:fldCharType="end"/>
    </w:r>
  </w:p>
  <w:p w:rsidR="00834C50" w:rsidRDefault="00834C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50" w:rsidRDefault="00834C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C50" w:rsidRDefault="00834C50">
      <w:r>
        <w:separator/>
      </w:r>
    </w:p>
  </w:footnote>
  <w:footnote w:type="continuationSeparator" w:id="0">
    <w:p w:rsidR="00834C50" w:rsidRDefault="00834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50" w:rsidRDefault="00834C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50" w:rsidRDefault="00834C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50" w:rsidRDefault="00834C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84A"/>
    <w:multiLevelType w:val="hybridMultilevel"/>
    <w:tmpl w:val="247645E4"/>
    <w:lvl w:ilvl="0" w:tplc="BEC2CC92">
      <w:start w:val="1"/>
      <w:numFmt w:val="lowerLetter"/>
      <w:lvlText w:val="%1)"/>
      <w:lvlJc w:val="left"/>
      <w:pPr>
        <w:tabs>
          <w:tab w:val="num" w:pos="360"/>
        </w:tabs>
        <w:ind w:left="360" w:hanging="360"/>
      </w:pPr>
      <w:rPr>
        <w:rFonts w:cs="Times New Roman"/>
        <w:b w:val="0"/>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
    <w:nsid w:val="068B3BCA"/>
    <w:multiLevelType w:val="multilevel"/>
    <w:tmpl w:val="581C93A6"/>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B8D5D4A"/>
    <w:multiLevelType w:val="hybridMultilevel"/>
    <w:tmpl w:val="4D54F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D8563A1"/>
    <w:multiLevelType w:val="hybridMultilevel"/>
    <w:tmpl w:val="AFCCCAF8"/>
    <w:lvl w:ilvl="0" w:tplc="BEC2CC92">
      <w:start w:val="1"/>
      <w:numFmt w:val="lowerLetter"/>
      <w:lvlText w:val="%1)"/>
      <w:lvlJc w:val="left"/>
      <w:pPr>
        <w:tabs>
          <w:tab w:val="num" w:pos="360"/>
        </w:tabs>
        <w:ind w:left="360" w:hanging="360"/>
      </w:pPr>
      <w:rPr>
        <w:rFonts w:cs="Times New Roman"/>
        <w:b w:val="0"/>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4">
    <w:nsid w:val="0FB41057"/>
    <w:multiLevelType w:val="hybridMultilevel"/>
    <w:tmpl w:val="08AE71B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nsid w:val="10FD6F6F"/>
    <w:multiLevelType w:val="hybridMultilevel"/>
    <w:tmpl w:val="A9C0DA7E"/>
    <w:lvl w:ilvl="0" w:tplc="10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11E5395D"/>
    <w:multiLevelType w:val="hybridMultilevel"/>
    <w:tmpl w:val="CEEA712A"/>
    <w:lvl w:ilvl="0" w:tplc="10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113962"/>
    <w:multiLevelType w:val="hybridMultilevel"/>
    <w:tmpl w:val="90963CCA"/>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8">
    <w:nsid w:val="136E270A"/>
    <w:multiLevelType w:val="hybridMultilevel"/>
    <w:tmpl w:val="C68A1780"/>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nsid w:val="155B7142"/>
    <w:multiLevelType w:val="hybridMultilevel"/>
    <w:tmpl w:val="B6F8DBC6"/>
    <w:lvl w:ilvl="0" w:tplc="BEC2CC92">
      <w:start w:val="1"/>
      <w:numFmt w:val="lowerLetter"/>
      <w:lvlText w:val="%1)"/>
      <w:lvlJc w:val="left"/>
      <w:pPr>
        <w:tabs>
          <w:tab w:val="num" w:pos="360"/>
        </w:tabs>
        <w:ind w:left="360" w:hanging="360"/>
      </w:pPr>
      <w:rPr>
        <w:rFonts w:cs="Times New Roman"/>
        <w:b w:val="0"/>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10">
    <w:nsid w:val="175A0338"/>
    <w:multiLevelType w:val="hybridMultilevel"/>
    <w:tmpl w:val="65480C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670F57"/>
    <w:multiLevelType w:val="hybridMultilevel"/>
    <w:tmpl w:val="7DC20A2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17D63400"/>
    <w:multiLevelType w:val="hybridMultilevel"/>
    <w:tmpl w:val="474C8B3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3">
    <w:nsid w:val="18DB3A6C"/>
    <w:multiLevelType w:val="hybridMultilevel"/>
    <w:tmpl w:val="E5581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9BD15EF"/>
    <w:multiLevelType w:val="hybridMultilevel"/>
    <w:tmpl w:val="6EE842C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E1D03E5"/>
    <w:multiLevelType w:val="multilevel"/>
    <w:tmpl w:val="8C84332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1E456563"/>
    <w:multiLevelType w:val="hybridMultilevel"/>
    <w:tmpl w:val="A300BB60"/>
    <w:lvl w:ilvl="0" w:tplc="04090017">
      <w:start w:val="1"/>
      <w:numFmt w:val="lowerLetter"/>
      <w:lvlText w:val="%1)"/>
      <w:lvlJc w:val="left"/>
      <w:pPr>
        <w:tabs>
          <w:tab w:val="num" w:pos="360"/>
        </w:tabs>
        <w:ind w:left="360" w:hanging="360"/>
      </w:pPr>
      <w:rPr>
        <w:rFonts w:cs="Times New Roman"/>
        <w:b w:val="0"/>
        <w:color w:val="333399"/>
        <w:sz w:val="22"/>
        <w:szCs w:val="22"/>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7">
    <w:nsid w:val="1F7B5E27"/>
    <w:multiLevelType w:val="hybridMultilevel"/>
    <w:tmpl w:val="8A4C0C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FBA6CAD"/>
    <w:multiLevelType w:val="hybridMultilevel"/>
    <w:tmpl w:val="98EC3B3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1230252"/>
    <w:multiLevelType w:val="hybridMultilevel"/>
    <w:tmpl w:val="867E366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23BA5C00"/>
    <w:multiLevelType w:val="hybridMultilevel"/>
    <w:tmpl w:val="6434B32C"/>
    <w:lvl w:ilvl="0" w:tplc="10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3FC3BE2"/>
    <w:multiLevelType w:val="hybridMultilevel"/>
    <w:tmpl w:val="C3DECE6E"/>
    <w:lvl w:ilvl="0" w:tplc="BEC2CC92">
      <w:start w:val="1"/>
      <w:numFmt w:val="lowerLetter"/>
      <w:lvlText w:val="%1)"/>
      <w:lvlJc w:val="left"/>
      <w:pPr>
        <w:tabs>
          <w:tab w:val="num" w:pos="360"/>
        </w:tabs>
        <w:ind w:left="360" w:hanging="360"/>
      </w:pPr>
      <w:rPr>
        <w:rFonts w:cs="Times New Roman"/>
        <w:b w:val="0"/>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2">
    <w:nsid w:val="24FA4F53"/>
    <w:multiLevelType w:val="hybridMultilevel"/>
    <w:tmpl w:val="BCDE156A"/>
    <w:lvl w:ilvl="0" w:tplc="9D181218">
      <w:start w:val="1"/>
      <w:numFmt w:val="lowerLetter"/>
      <w:lvlText w:val="%1)"/>
      <w:lvlJc w:val="left"/>
      <w:pPr>
        <w:tabs>
          <w:tab w:val="num" w:pos="360"/>
        </w:tabs>
        <w:ind w:left="360" w:hanging="360"/>
      </w:pPr>
      <w:rPr>
        <w:rFonts w:cs="Times New Roman"/>
        <w:b w:val="0"/>
        <w:color w:val="333399"/>
        <w:sz w:val="22"/>
        <w:szCs w:val="22"/>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3">
    <w:nsid w:val="26011C05"/>
    <w:multiLevelType w:val="hybridMultilevel"/>
    <w:tmpl w:val="37926932"/>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4">
    <w:nsid w:val="2AC220B0"/>
    <w:multiLevelType w:val="hybridMultilevel"/>
    <w:tmpl w:val="7F0200F0"/>
    <w:lvl w:ilvl="0" w:tplc="9D181218">
      <w:start w:val="1"/>
      <w:numFmt w:val="lowerLetter"/>
      <w:lvlText w:val="%1)"/>
      <w:lvlJc w:val="left"/>
      <w:pPr>
        <w:tabs>
          <w:tab w:val="num" w:pos="360"/>
        </w:tabs>
        <w:ind w:left="360" w:hanging="360"/>
      </w:pPr>
      <w:rPr>
        <w:rFonts w:cs="Times New Roman"/>
        <w:b w:val="0"/>
        <w:color w:val="333399"/>
        <w:sz w:val="22"/>
        <w:szCs w:val="22"/>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5">
    <w:nsid w:val="2AD44AEA"/>
    <w:multiLevelType w:val="hybridMultilevel"/>
    <w:tmpl w:val="69ECE920"/>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6">
    <w:nsid w:val="2B656E93"/>
    <w:multiLevelType w:val="hybridMultilevel"/>
    <w:tmpl w:val="7CE00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2BAA4D45"/>
    <w:multiLevelType w:val="hybridMultilevel"/>
    <w:tmpl w:val="220818F2"/>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8">
    <w:nsid w:val="2C4749D1"/>
    <w:multiLevelType w:val="multilevel"/>
    <w:tmpl w:val="85207ED2"/>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2C947301"/>
    <w:multiLevelType w:val="hybridMultilevel"/>
    <w:tmpl w:val="12FE1958"/>
    <w:lvl w:ilvl="0" w:tplc="10090017">
      <w:start w:val="1"/>
      <w:numFmt w:val="lowerLetter"/>
      <w:lvlText w:val="%1)"/>
      <w:lvlJc w:val="left"/>
      <w:pPr>
        <w:tabs>
          <w:tab w:val="num" w:pos="360"/>
        </w:tabs>
        <w:ind w:left="360" w:hanging="360"/>
      </w:pPr>
      <w:rPr>
        <w:rFonts w:cs="Times New Roman"/>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30">
    <w:nsid w:val="2C9C2931"/>
    <w:multiLevelType w:val="hybridMultilevel"/>
    <w:tmpl w:val="DF1E2E42"/>
    <w:lvl w:ilvl="0" w:tplc="8CAC2BFA">
      <w:start w:val="1"/>
      <w:numFmt w:val="lowerLetter"/>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2F7427B5"/>
    <w:multiLevelType w:val="hybridMultilevel"/>
    <w:tmpl w:val="F2BC986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2">
    <w:nsid w:val="2F80099D"/>
    <w:multiLevelType w:val="hybridMultilevel"/>
    <w:tmpl w:val="E020E820"/>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3">
    <w:nsid w:val="2FA17B63"/>
    <w:multiLevelType w:val="hybridMultilevel"/>
    <w:tmpl w:val="C27474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311C33A5"/>
    <w:multiLevelType w:val="hybridMultilevel"/>
    <w:tmpl w:val="FBDA7E46"/>
    <w:lvl w:ilvl="0" w:tplc="BEC2CC92">
      <w:start w:val="1"/>
      <w:numFmt w:val="lowerLetter"/>
      <w:lvlText w:val="%1)"/>
      <w:lvlJc w:val="left"/>
      <w:pPr>
        <w:tabs>
          <w:tab w:val="num" w:pos="360"/>
        </w:tabs>
        <w:ind w:left="360" w:hanging="360"/>
      </w:pPr>
      <w:rPr>
        <w:rFonts w:cs="Times New Roman"/>
        <w:b w:val="0"/>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5">
    <w:nsid w:val="32005417"/>
    <w:multiLevelType w:val="hybridMultilevel"/>
    <w:tmpl w:val="6298BB74"/>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6">
    <w:nsid w:val="3222019A"/>
    <w:multiLevelType w:val="hybridMultilevel"/>
    <w:tmpl w:val="40A0B82C"/>
    <w:lvl w:ilvl="0" w:tplc="9D181218">
      <w:start w:val="1"/>
      <w:numFmt w:val="lowerLetter"/>
      <w:lvlText w:val="%1)"/>
      <w:lvlJc w:val="left"/>
      <w:pPr>
        <w:tabs>
          <w:tab w:val="num" w:pos="360"/>
        </w:tabs>
        <w:ind w:left="360" w:hanging="360"/>
      </w:pPr>
      <w:rPr>
        <w:rFonts w:cs="Times New Roman"/>
        <w:b w:val="0"/>
        <w:color w:val="333399"/>
        <w:sz w:val="22"/>
        <w:szCs w:val="22"/>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7">
    <w:nsid w:val="33766340"/>
    <w:multiLevelType w:val="hybridMultilevel"/>
    <w:tmpl w:val="AAFC3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AE3615D"/>
    <w:multiLevelType w:val="hybridMultilevel"/>
    <w:tmpl w:val="1D720242"/>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9">
    <w:nsid w:val="3C6648E6"/>
    <w:multiLevelType w:val="hybridMultilevel"/>
    <w:tmpl w:val="A64C3F80"/>
    <w:lvl w:ilvl="0" w:tplc="6278F1FA">
      <w:start w:val="1"/>
      <w:numFmt w:val="lowerLetter"/>
      <w:lvlText w:val="%1)"/>
      <w:lvlJc w:val="left"/>
      <w:pPr>
        <w:ind w:left="360" w:hanging="360"/>
      </w:pPr>
      <w:rPr>
        <w:rFonts w:cs="Times New Roman"/>
        <w:b w:val="0"/>
        <w:sz w:val="2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nsid w:val="3EE465EF"/>
    <w:multiLevelType w:val="hybridMultilevel"/>
    <w:tmpl w:val="BC9A150C"/>
    <w:lvl w:ilvl="0" w:tplc="10090001">
      <w:start w:val="1"/>
      <w:numFmt w:val="bullet"/>
      <w:lvlText w:val=""/>
      <w:lvlJc w:val="left"/>
      <w:pPr>
        <w:tabs>
          <w:tab w:val="num" w:pos="1080"/>
        </w:tabs>
        <w:ind w:left="1080" w:hanging="360"/>
      </w:pPr>
      <w:rPr>
        <w:rFonts w:ascii="Symbol" w:hAnsi="Symbol" w:hint="default"/>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1">
    <w:nsid w:val="42D82627"/>
    <w:multiLevelType w:val="hybridMultilevel"/>
    <w:tmpl w:val="3328101C"/>
    <w:lvl w:ilvl="0" w:tplc="5024EF56">
      <w:start w:val="1"/>
      <w:numFmt w:val="lowerLetter"/>
      <w:lvlText w:val="%1)"/>
      <w:lvlJc w:val="left"/>
      <w:pPr>
        <w:tabs>
          <w:tab w:val="num" w:pos="360"/>
        </w:tabs>
        <w:ind w:left="360" w:hanging="360"/>
      </w:pPr>
      <w:rPr>
        <w:rFonts w:cs="Times New Roman"/>
        <w:b w:val="0"/>
        <w:color w:val="auto"/>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42">
    <w:nsid w:val="44A946C9"/>
    <w:multiLevelType w:val="hybridMultilevel"/>
    <w:tmpl w:val="AA449DA4"/>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3">
    <w:nsid w:val="4668392D"/>
    <w:multiLevelType w:val="hybridMultilevel"/>
    <w:tmpl w:val="9390A566"/>
    <w:lvl w:ilvl="0" w:tplc="BAFCCA72">
      <w:start w:val="1"/>
      <w:numFmt w:val="bullet"/>
      <w:lvlText w:val=""/>
      <w:lvlJc w:val="left"/>
      <w:pPr>
        <w:tabs>
          <w:tab w:val="num" w:pos="576"/>
        </w:tabs>
        <w:ind w:left="576" w:hanging="288"/>
      </w:pPr>
      <w:rPr>
        <w:rFonts w:ascii="Symbol" w:hAnsi="Symbol" w:hint="default"/>
        <w:color w:val="00000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76C3E56"/>
    <w:multiLevelType w:val="hybridMultilevel"/>
    <w:tmpl w:val="3ADA3636"/>
    <w:lvl w:ilvl="0" w:tplc="10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080"/>
        </w:tabs>
        <w:ind w:left="1080" w:hanging="360"/>
      </w:pPr>
      <w:rPr>
        <w:rFonts w:ascii="Symbol" w:hAnsi="Symbol" w:hint="default"/>
      </w:rPr>
    </w:lvl>
    <w:lvl w:ilvl="2" w:tplc="10090005">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5">
    <w:nsid w:val="4D656A6A"/>
    <w:multiLevelType w:val="hybridMultilevel"/>
    <w:tmpl w:val="A3EABD44"/>
    <w:lvl w:ilvl="0" w:tplc="36942ADE">
      <w:start w:val="1"/>
      <w:numFmt w:val="bullet"/>
      <w:lvlText w:val="o"/>
      <w:lvlJc w:val="left"/>
      <w:pPr>
        <w:tabs>
          <w:tab w:val="num" w:pos="420"/>
        </w:tabs>
        <w:ind w:left="420" w:hanging="360"/>
      </w:pPr>
      <w:rPr>
        <w:rFonts w:ascii="Courier New" w:hAnsi="Courier New"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6">
    <w:nsid w:val="4DA32A46"/>
    <w:multiLevelType w:val="hybridMultilevel"/>
    <w:tmpl w:val="E4ECDD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18A7020"/>
    <w:multiLevelType w:val="hybridMultilevel"/>
    <w:tmpl w:val="85207ED2"/>
    <w:lvl w:ilvl="0" w:tplc="10090003">
      <w:start w:val="1"/>
      <w:numFmt w:val="bullet"/>
      <w:lvlText w:val="o"/>
      <w:lvlJc w:val="left"/>
      <w:pPr>
        <w:tabs>
          <w:tab w:val="num" w:pos="360"/>
        </w:tabs>
        <w:ind w:left="360" w:hanging="360"/>
      </w:pPr>
      <w:rPr>
        <w:rFonts w:ascii="Courier New" w:hAnsi="Courier New"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8">
    <w:nsid w:val="51AC76C4"/>
    <w:multiLevelType w:val="hybridMultilevel"/>
    <w:tmpl w:val="2358308A"/>
    <w:lvl w:ilvl="0" w:tplc="1009000F">
      <w:start w:val="1"/>
      <w:numFmt w:val="decimal"/>
      <w:lvlText w:val="%1."/>
      <w:lvlJc w:val="left"/>
      <w:pPr>
        <w:tabs>
          <w:tab w:val="num" w:pos="360"/>
        </w:tabs>
        <w:ind w:left="360" w:hanging="360"/>
      </w:pPr>
      <w:rPr>
        <w:rFonts w:cs="Times New Roman"/>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49">
    <w:nsid w:val="54C70AE3"/>
    <w:multiLevelType w:val="hybridMultilevel"/>
    <w:tmpl w:val="D87C9B3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0">
    <w:nsid w:val="569312E5"/>
    <w:multiLevelType w:val="hybridMultilevel"/>
    <w:tmpl w:val="100AA538"/>
    <w:lvl w:ilvl="0" w:tplc="10090017">
      <w:start w:val="1"/>
      <w:numFmt w:val="lowerLetter"/>
      <w:lvlText w:val="%1)"/>
      <w:lvlJc w:val="left"/>
      <w:pPr>
        <w:tabs>
          <w:tab w:val="num" w:pos="360"/>
        </w:tabs>
        <w:ind w:left="360" w:hanging="360"/>
      </w:pPr>
      <w:rPr>
        <w:rFonts w:cs="Times New Roman"/>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51">
    <w:nsid w:val="59DC157B"/>
    <w:multiLevelType w:val="hybridMultilevel"/>
    <w:tmpl w:val="6AFEF14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nsid w:val="5F895787"/>
    <w:multiLevelType w:val="hybridMultilevel"/>
    <w:tmpl w:val="581C93A6"/>
    <w:lvl w:ilvl="0" w:tplc="36942ADE">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0A906F2"/>
    <w:multiLevelType w:val="hybridMultilevel"/>
    <w:tmpl w:val="FAECC0BC"/>
    <w:lvl w:ilvl="0" w:tplc="10090003">
      <w:start w:val="1"/>
      <w:numFmt w:val="bullet"/>
      <w:lvlText w:val="o"/>
      <w:lvlJc w:val="left"/>
      <w:pPr>
        <w:tabs>
          <w:tab w:val="num" w:pos="1080"/>
        </w:tabs>
        <w:ind w:left="1080" w:hanging="360"/>
      </w:pPr>
      <w:rPr>
        <w:rFonts w:ascii="Courier New" w:hAnsi="Courier New" w:hint="default"/>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4">
    <w:nsid w:val="65B46E2E"/>
    <w:multiLevelType w:val="hybridMultilevel"/>
    <w:tmpl w:val="3398D7A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5">
    <w:nsid w:val="66A10292"/>
    <w:multiLevelType w:val="hybridMultilevel"/>
    <w:tmpl w:val="9E88630A"/>
    <w:lvl w:ilvl="0" w:tplc="BEC2CC92">
      <w:start w:val="1"/>
      <w:numFmt w:val="lowerLetter"/>
      <w:lvlText w:val="%1)"/>
      <w:lvlJc w:val="left"/>
      <w:pPr>
        <w:tabs>
          <w:tab w:val="num" w:pos="360"/>
        </w:tabs>
        <w:ind w:left="360" w:hanging="360"/>
      </w:pPr>
      <w:rPr>
        <w:rFonts w:cs="Times New Roman"/>
        <w:b w:val="0"/>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56">
    <w:nsid w:val="68171491"/>
    <w:multiLevelType w:val="hybridMultilevel"/>
    <w:tmpl w:val="E9422CDC"/>
    <w:lvl w:ilvl="0" w:tplc="BEC2CC92">
      <w:start w:val="1"/>
      <w:numFmt w:val="lowerLetter"/>
      <w:lvlText w:val="%1)"/>
      <w:lvlJc w:val="left"/>
      <w:pPr>
        <w:tabs>
          <w:tab w:val="num" w:pos="360"/>
        </w:tabs>
        <w:ind w:left="360" w:hanging="360"/>
      </w:pPr>
      <w:rPr>
        <w:rFonts w:cs="Times New Roman"/>
        <w:b w:val="0"/>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57">
    <w:nsid w:val="686948C0"/>
    <w:multiLevelType w:val="hybridMultilevel"/>
    <w:tmpl w:val="3FF4CAE0"/>
    <w:lvl w:ilvl="0" w:tplc="10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6ACD1529"/>
    <w:multiLevelType w:val="hybridMultilevel"/>
    <w:tmpl w:val="FE68A676"/>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9">
    <w:nsid w:val="6C1B0E99"/>
    <w:multiLevelType w:val="hybridMultilevel"/>
    <w:tmpl w:val="707A5422"/>
    <w:lvl w:ilvl="0" w:tplc="CD408E48">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6C3B6C33"/>
    <w:multiLevelType w:val="hybridMultilevel"/>
    <w:tmpl w:val="74740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6C554B35"/>
    <w:multiLevelType w:val="hybridMultilevel"/>
    <w:tmpl w:val="E95CECC6"/>
    <w:lvl w:ilvl="0" w:tplc="9D181218">
      <w:start w:val="1"/>
      <w:numFmt w:val="lowerLetter"/>
      <w:lvlText w:val="%1)"/>
      <w:lvlJc w:val="left"/>
      <w:pPr>
        <w:tabs>
          <w:tab w:val="num" w:pos="360"/>
        </w:tabs>
        <w:ind w:left="360" w:hanging="360"/>
      </w:pPr>
      <w:rPr>
        <w:rFonts w:cs="Times New Roman"/>
        <w:b w:val="0"/>
        <w:color w:val="333399"/>
        <w:sz w:val="22"/>
        <w:szCs w:val="22"/>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62">
    <w:nsid w:val="6DB91184"/>
    <w:multiLevelType w:val="hybridMultilevel"/>
    <w:tmpl w:val="6D20CFA4"/>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3">
    <w:nsid w:val="6F155188"/>
    <w:multiLevelType w:val="hybridMultilevel"/>
    <w:tmpl w:val="2E9ED43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4">
    <w:nsid w:val="71B209B3"/>
    <w:multiLevelType w:val="hybridMultilevel"/>
    <w:tmpl w:val="A8403364"/>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5">
    <w:nsid w:val="72E047D1"/>
    <w:multiLevelType w:val="hybridMultilevel"/>
    <w:tmpl w:val="18167F54"/>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6">
    <w:nsid w:val="7570084E"/>
    <w:multiLevelType w:val="multilevel"/>
    <w:tmpl w:val="A1D875A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7">
    <w:nsid w:val="77346A96"/>
    <w:multiLevelType w:val="hybridMultilevel"/>
    <w:tmpl w:val="FBA6BE62"/>
    <w:lvl w:ilvl="0" w:tplc="9D181218">
      <w:start w:val="1"/>
      <w:numFmt w:val="lowerLetter"/>
      <w:lvlText w:val="%1)"/>
      <w:lvlJc w:val="left"/>
      <w:pPr>
        <w:tabs>
          <w:tab w:val="num" w:pos="360"/>
        </w:tabs>
        <w:ind w:left="360" w:hanging="360"/>
      </w:pPr>
      <w:rPr>
        <w:rFonts w:cs="Times New Roman"/>
        <w:b w:val="0"/>
        <w:color w:val="333399"/>
        <w:sz w:val="22"/>
        <w:szCs w:val="22"/>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68">
    <w:nsid w:val="77AA160B"/>
    <w:multiLevelType w:val="multilevel"/>
    <w:tmpl w:val="474C8B3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9">
    <w:nsid w:val="77C75DB5"/>
    <w:multiLevelType w:val="multilevel"/>
    <w:tmpl w:val="581C93A6"/>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0">
    <w:nsid w:val="7AD51B04"/>
    <w:multiLevelType w:val="multilevel"/>
    <w:tmpl w:val="A3EABD44"/>
    <w:lvl w:ilvl="0">
      <w:start w:val="1"/>
      <w:numFmt w:val="bullet"/>
      <w:lvlText w:val="o"/>
      <w:lvlJc w:val="left"/>
      <w:pPr>
        <w:tabs>
          <w:tab w:val="num" w:pos="420"/>
        </w:tabs>
        <w:ind w:left="420" w:hanging="360"/>
      </w:pPr>
      <w:rPr>
        <w:rFonts w:ascii="Courier New" w:hAnsi="Courier New"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71">
    <w:nsid w:val="7B6A686F"/>
    <w:multiLevelType w:val="hybridMultilevel"/>
    <w:tmpl w:val="7356331C"/>
    <w:lvl w:ilvl="0" w:tplc="10090017">
      <w:start w:val="1"/>
      <w:numFmt w:val="lowerLetter"/>
      <w:lvlText w:val="%1)"/>
      <w:lvlJc w:val="left"/>
      <w:pPr>
        <w:tabs>
          <w:tab w:val="num" w:pos="360"/>
        </w:tabs>
        <w:ind w:left="360" w:hanging="360"/>
      </w:pPr>
      <w:rPr>
        <w:rFonts w:cs="Times New Roman"/>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72">
    <w:nsid w:val="7DBF5657"/>
    <w:multiLevelType w:val="hybridMultilevel"/>
    <w:tmpl w:val="44B8A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7E5D0AEB"/>
    <w:multiLevelType w:val="multilevel"/>
    <w:tmpl w:val="581C93A6"/>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19"/>
  </w:num>
  <w:num w:numId="3">
    <w:abstractNumId w:val="49"/>
  </w:num>
  <w:num w:numId="4">
    <w:abstractNumId w:val="63"/>
  </w:num>
  <w:num w:numId="5">
    <w:abstractNumId w:val="18"/>
  </w:num>
  <w:num w:numId="6">
    <w:abstractNumId w:val="51"/>
  </w:num>
  <w:num w:numId="7">
    <w:abstractNumId w:val="27"/>
  </w:num>
  <w:num w:numId="8">
    <w:abstractNumId w:val="8"/>
  </w:num>
  <w:num w:numId="9">
    <w:abstractNumId w:val="12"/>
  </w:num>
  <w:num w:numId="10">
    <w:abstractNumId w:val="44"/>
  </w:num>
  <w:num w:numId="11">
    <w:abstractNumId w:val="4"/>
  </w:num>
  <w:num w:numId="12">
    <w:abstractNumId w:val="23"/>
  </w:num>
  <w:num w:numId="13">
    <w:abstractNumId w:val="65"/>
  </w:num>
  <w:num w:numId="14">
    <w:abstractNumId w:val="58"/>
  </w:num>
  <w:num w:numId="15">
    <w:abstractNumId w:val="54"/>
  </w:num>
  <w:num w:numId="16">
    <w:abstractNumId w:val="35"/>
  </w:num>
  <w:num w:numId="17">
    <w:abstractNumId w:val="31"/>
  </w:num>
  <w:num w:numId="18">
    <w:abstractNumId w:val="38"/>
  </w:num>
  <w:num w:numId="19">
    <w:abstractNumId w:val="32"/>
  </w:num>
  <w:num w:numId="20">
    <w:abstractNumId w:val="7"/>
  </w:num>
  <w:num w:numId="21">
    <w:abstractNumId w:val="42"/>
  </w:num>
  <w:num w:numId="22">
    <w:abstractNumId w:val="62"/>
  </w:num>
  <w:num w:numId="23">
    <w:abstractNumId w:val="30"/>
  </w:num>
  <w:num w:numId="24">
    <w:abstractNumId w:val="53"/>
  </w:num>
  <w:num w:numId="25">
    <w:abstractNumId w:val="40"/>
  </w:num>
  <w:num w:numId="26">
    <w:abstractNumId w:val="52"/>
  </w:num>
  <w:num w:numId="27">
    <w:abstractNumId w:val="1"/>
  </w:num>
  <w:num w:numId="28">
    <w:abstractNumId w:val="57"/>
  </w:num>
  <w:num w:numId="29">
    <w:abstractNumId w:val="73"/>
  </w:num>
  <w:num w:numId="30">
    <w:abstractNumId w:val="6"/>
  </w:num>
  <w:num w:numId="31">
    <w:abstractNumId w:val="69"/>
  </w:num>
  <w:num w:numId="32">
    <w:abstractNumId w:val="20"/>
  </w:num>
  <w:num w:numId="33">
    <w:abstractNumId w:val="68"/>
  </w:num>
  <w:num w:numId="34">
    <w:abstractNumId w:val="47"/>
  </w:num>
  <w:num w:numId="35">
    <w:abstractNumId w:val="28"/>
  </w:num>
  <w:num w:numId="36">
    <w:abstractNumId w:val="25"/>
  </w:num>
  <w:num w:numId="37">
    <w:abstractNumId w:val="45"/>
  </w:num>
  <w:num w:numId="38">
    <w:abstractNumId w:val="70"/>
  </w:num>
  <w:num w:numId="39">
    <w:abstractNumId w:val="5"/>
  </w:num>
  <w:num w:numId="40">
    <w:abstractNumId w:val="29"/>
  </w:num>
  <w:num w:numId="41">
    <w:abstractNumId w:val="15"/>
  </w:num>
  <w:num w:numId="42">
    <w:abstractNumId w:val="50"/>
  </w:num>
  <w:num w:numId="43">
    <w:abstractNumId w:val="71"/>
  </w:num>
  <w:num w:numId="44">
    <w:abstractNumId w:val="9"/>
  </w:num>
  <w:num w:numId="45">
    <w:abstractNumId w:val="0"/>
  </w:num>
  <w:num w:numId="46">
    <w:abstractNumId w:val="3"/>
  </w:num>
  <w:num w:numId="47">
    <w:abstractNumId w:val="21"/>
  </w:num>
  <w:num w:numId="48">
    <w:abstractNumId w:val="56"/>
  </w:num>
  <w:num w:numId="49">
    <w:abstractNumId w:val="55"/>
  </w:num>
  <w:num w:numId="50">
    <w:abstractNumId w:val="34"/>
  </w:num>
  <w:num w:numId="51">
    <w:abstractNumId w:val="2"/>
  </w:num>
  <w:num w:numId="52">
    <w:abstractNumId w:val="60"/>
  </w:num>
  <w:num w:numId="53">
    <w:abstractNumId w:val="13"/>
  </w:num>
  <w:num w:numId="54">
    <w:abstractNumId w:val="10"/>
  </w:num>
  <w:num w:numId="55">
    <w:abstractNumId w:val="17"/>
  </w:num>
  <w:num w:numId="56">
    <w:abstractNumId w:val="48"/>
  </w:num>
  <w:num w:numId="57">
    <w:abstractNumId w:val="41"/>
  </w:num>
  <w:num w:numId="58">
    <w:abstractNumId w:val="66"/>
  </w:num>
  <w:num w:numId="59">
    <w:abstractNumId w:val="24"/>
  </w:num>
  <w:num w:numId="60">
    <w:abstractNumId w:val="36"/>
  </w:num>
  <w:num w:numId="61">
    <w:abstractNumId w:val="61"/>
  </w:num>
  <w:num w:numId="62">
    <w:abstractNumId w:val="67"/>
  </w:num>
  <w:num w:numId="63">
    <w:abstractNumId w:val="22"/>
  </w:num>
  <w:num w:numId="64">
    <w:abstractNumId w:val="72"/>
  </w:num>
  <w:num w:numId="65">
    <w:abstractNumId w:val="33"/>
  </w:num>
  <w:num w:numId="66">
    <w:abstractNumId w:val="11"/>
  </w:num>
  <w:num w:numId="67">
    <w:abstractNumId w:val="59"/>
  </w:num>
  <w:num w:numId="68">
    <w:abstractNumId w:val="39"/>
  </w:num>
  <w:num w:numId="69">
    <w:abstractNumId w:val="14"/>
  </w:num>
  <w:num w:numId="70">
    <w:abstractNumId w:val="16"/>
  </w:num>
  <w:num w:numId="71">
    <w:abstractNumId w:val="64"/>
  </w:num>
  <w:num w:numId="72">
    <w:abstractNumId w:val="26"/>
  </w:num>
  <w:num w:numId="73">
    <w:abstractNumId w:val="37"/>
  </w:num>
  <w:num w:numId="74">
    <w:abstractNumId w:val="4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311"/>
    <w:rsid w:val="00004CD7"/>
    <w:rsid w:val="0000553F"/>
    <w:rsid w:val="000118B6"/>
    <w:rsid w:val="00015462"/>
    <w:rsid w:val="00020932"/>
    <w:rsid w:val="0002471F"/>
    <w:rsid w:val="00027E57"/>
    <w:rsid w:val="00030992"/>
    <w:rsid w:val="000314D9"/>
    <w:rsid w:val="000411B3"/>
    <w:rsid w:val="000472E2"/>
    <w:rsid w:val="00055262"/>
    <w:rsid w:val="000558A3"/>
    <w:rsid w:val="0006282D"/>
    <w:rsid w:val="00064B0E"/>
    <w:rsid w:val="00066B8A"/>
    <w:rsid w:val="000737F3"/>
    <w:rsid w:val="00076B3D"/>
    <w:rsid w:val="000863CD"/>
    <w:rsid w:val="00087B23"/>
    <w:rsid w:val="000932B0"/>
    <w:rsid w:val="00097DCE"/>
    <w:rsid w:val="000A7F14"/>
    <w:rsid w:val="000B1027"/>
    <w:rsid w:val="000B1EBE"/>
    <w:rsid w:val="000B41F5"/>
    <w:rsid w:val="000B49A6"/>
    <w:rsid w:val="000B62AA"/>
    <w:rsid w:val="000C10EF"/>
    <w:rsid w:val="000C1E72"/>
    <w:rsid w:val="000C23D5"/>
    <w:rsid w:val="000D05DB"/>
    <w:rsid w:val="000D1BAE"/>
    <w:rsid w:val="000D29AE"/>
    <w:rsid w:val="000D5BA9"/>
    <w:rsid w:val="000D6D2D"/>
    <w:rsid w:val="000E55A5"/>
    <w:rsid w:val="000E61E3"/>
    <w:rsid w:val="000E7179"/>
    <w:rsid w:val="000E7A5A"/>
    <w:rsid w:val="000F0BB9"/>
    <w:rsid w:val="00100154"/>
    <w:rsid w:val="00112325"/>
    <w:rsid w:val="00114EC7"/>
    <w:rsid w:val="001235E4"/>
    <w:rsid w:val="00127C7E"/>
    <w:rsid w:val="00134267"/>
    <w:rsid w:val="00134E7A"/>
    <w:rsid w:val="001427E7"/>
    <w:rsid w:val="0015715C"/>
    <w:rsid w:val="0016045F"/>
    <w:rsid w:val="0016384F"/>
    <w:rsid w:val="0017347B"/>
    <w:rsid w:val="00174331"/>
    <w:rsid w:val="00174B0D"/>
    <w:rsid w:val="001767D2"/>
    <w:rsid w:val="0018025C"/>
    <w:rsid w:val="0018595A"/>
    <w:rsid w:val="00186F13"/>
    <w:rsid w:val="00197169"/>
    <w:rsid w:val="00197F46"/>
    <w:rsid w:val="001B057F"/>
    <w:rsid w:val="001B07F8"/>
    <w:rsid w:val="001B1A09"/>
    <w:rsid w:val="001B2D14"/>
    <w:rsid w:val="001C2E2D"/>
    <w:rsid w:val="001C457C"/>
    <w:rsid w:val="001C7BF2"/>
    <w:rsid w:val="001D162C"/>
    <w:rsid w:val="001D31F1"/>
    <w:rsid w:val="001D5E3E"/>
    <w:rsid w:val="001E36E0"/>
    <w:rsid w:val="001E4505"/>
    <w:rsid w:val="001E4AF7"/>
    <w:rsid w:val="001E6DFD"/>
    <w:rsid w:val="001F0792"/>
    <w:rsid w:val="001F2791"/>
    <w:rsid w:val="002058DF"/>
    <w:rsid w:val="002100D8"/>
    <w:rsid w:val="00214469"/>
    <w:rsid w:val="0022007B"/>
    <w:rsid w:val="002232B1"/>
    <w:rsid w:val="00227545"/>
    <w:rsid w:val="00233882"/>
    <w:rsid w:val="00233BAA"/>
    <w:rsid w:val="00233F08"/>
    <w:rsid w:val="00240271"/>
    <w:rsid w:val="002516BD"/>
    <w:rsid w:val="002556A3"/>
    <w:rsid w:val="00257324"/>
    <w:rsid w:val="00261242"/>
    <w:rsid w:val="00261D1A"/>
    <w:rsid w:val="00262076"/>
    <w:rsid w:val="00265D30"/>
    <w:rsid w:val="00271118"/>
    <w:rsid w:val="00272BED"/>
    <w:rsid w:val="002730BB"/>
    <w:rsid w:val="00273A0B"/>
    <w:rsid w:val="002800B3"/>
    <w:rsid w:val="00281B63"/>
    <w:rsid w:val="002834A5"/>
    <w:rsid w:val="002850DF"/>
    <w:rsid w:val="00290D38"/>
    <w:rsid w:val="00295008"/>
    <w:rsid w:val="002A081D"/>
    <w:rsid w:val="002A0BDA"/>
    <w:rsid w:val="002A6435"/>
    <w:rsid w:val="002B4974"/>
    <w:rsid w:val="002D5B22"/>
    <w:rsid w:val="002E1A88"/>
    <w:rsid w:val="002E2C7B"/>
    <w:rsid w:val="002E3972"/>
    <w:rsid w:val="002E535A"/>
    <w:rsid w:val="002F4A79"/>
    <w:rsid w:val="002F4C73"/>
    <w:rsid w:val="002F6091"/>
    <w:rsid w:val="00301B61"/>
    <w:rsid w:val="00303397"/>
    <w:rsid w:val="003033C8"/>
    <w:rsid w:val="003036F3"/>
    <w:rsid w:val="00304472"/>
    <w:rsid w:val="00310DCF"/>
    <w:rsid w:val="00312FC9"/>
    <w:rsid w:val="00313D3C"/>
    <w:rsid w:val="003167DE"/>
    <w:rsid w:val="00317CF4"/>
    <w:rsid w:val="0032796C"/>
    <w:rsid w:val="0033224F"/>
    <w:rsid w:val="00335FF5"/>
    <w:rsid w:val="003432F4"/>
    <w:rsid w:val="00347D16"/>
    <w:rsid w:val="00364F07"/>
    <w:rsid w:val="00375BF6"/>
    <w:rsid w:val="00376220"/>
    <w:rsid w:val="00380A38"/>
    <w:rsid w:val="00382998"/>
    <w:rsid w:val="00382E81"/>
    <w:rsid w:val="00386239"/>
    <w:rsid w:val="003A039D"/>
    <w:rsid w:val="003A129B"/>
    <w:rsid w:val="003A3BD7"/>
    <w:rsid w:val="003B34C0"/>
    <w:rsid w:val="003B62D7"/>
    <w:rsid w:val="003B659C"/>
    <w:rsid w:val="003C4A5F"/>
    <w:rsid w:val="003C55F4"/>
    <w:rsid w:val="003D228E"/>
    <w:rsid w:val="003E0E67"/>
    <w:rsid w:val="003F0D1C"/>
    <w:rsid w:val="003F3F7A"/>
    <w:rsid w:val="003F756D"/>
    <w:rsid w:val="00411DA0"/>
    <w:rsid w:val="0042150D"/>
    <w:rsid w:val="004326A5"/>
    <w:rsid w:val="00432F00"/>
    <w:rsid w:val="0045226C"/>
    <w:rsid w:val="00455BFF"/>
    <w:rsid w:val="004659CE"/>
    <w:rsid w:val="004671DB"/>
    <w:rsid w:val="004708B3"/>
    <w:rsid w:val="00473D92"/>
    <w:rsid w:val="004744AC"/>
    <w:rsid w:val="0049462F"/>
    <w:rsid w:val="0049507C"/>
    <w:rsid w:val="004A4D23"/>
    <w:rsid w:val="004B0636"/>
    <w:rsid w:val="004B0B6C"/>
    <w:rsid w:val="004C3749"/>
    <w:rsid w:val="004C5842"/>
    <w:rsid w:val="004C697F"/>
    <w:rsid w:val="004C6BE1"/>
    <w:rsid w:val="004C7B6F"/>
    <w:rsid w:val="004D21E5"/>
    <w:rsid w:val="004D335E"/>
    <w:rsid w:val="004D6CC3"/>
    <w:rsid w:val="004E48CC"/>
    <w:rsid w:val="004E6BF3"/>
    <w:rsid w:val="004F2297"/>
    <w:rsid w:val="004F685B"/>
    <w:rsid w:val="004F78EF"/>
    <w:rsid w:val="00501AB9"/>
    <w:rsid w:val="00502D5B"/>
    <w:rsid w:val="005048C0"/>
    <w:rsid w:val="00506396"/>
    <w:rsid w:val="00520B6C"/>
    <w:rsid w:val="00525476"/>
    <w:rsid w:val="005317D1"/>
    <w:rsid w:val="0053210A"/>
    <w:rsid w:val="0053602E"/>
    <w:rsid w:val="005445A8"/>
    <w:rsid w:val="00547DEF"/>
    <w:rsid w:val="0055070E"/>
    <w:rsid w:val="00550B8D"/>
    <w:rsid w:val="00551B14"/>
    <w:rsid w:val="00556AAF"/>
    <w:rsid w:val="00565A81"/>
    <w:rsid w:val="005713F9"/>
    <w:rsid w:val="00572344"/>
    <w:rsid w:val="005770AC"/>
    <w:rsid w:val="005859F9"/>
    <w:rsid w:val="00586E58"/>
    <w:rsid w:val="0059333C"/>
    <w:rsid w:val="005968F7"/>
    <w:rsid w:val="005B237E"/>
    <w:rsid w:val="005B585D"/>
    <w:rsid w:val="005B6323"/>
    <w:rsid w:val="005C1279"/>
    <w:rsid w:val="005C6E4A"/>
    <w:rsid w:val="005C775F"/>
    <w:rsid w:val="005D3E74"/>
    <w:rsid w:val="005D6401"/>
    <w:rsid w:val="005D7256"/>
    <w:rsid w:val="005E0E41"/>
    <w:rsid w:val="005E3323"/>
    <w:rsid w:val="005E381E"/>
    <w:rsid w:val="005E6AFC"/>
    <w:rsid w:val="005F33C9"/>
    <w:rsid w:val="005F3896"/>
    <w:rsid w:val="00602FE5"/>
    <w:rsid w:val="00610F3C"/>
    <w:rsid w:val="006122D0"/>
    <w:rsid w:val="00612945"/>
    <w:rsid w:val="00613939"/>
    <w:rsid w:val="0061539A"/>
    <w:rsid w:val="00615FAE"/>
    <w:rsid w:val="00616824"/>
    <w:rsid w:val="00616BF5"/>
    <w:rsid w:val="00623B33"/>
    <w:rsid w:val="00643221"/>
    <w:rsid w:val="00646B69"/>
    <w:rsid w:val="006471EE"/>
    <w:rsid w:val="00650F99"/>
    <w:rsid w:val="0065218C"/>
    <w:rsid w:val="006642E8"/>
    <w:rsid w:val="0067367B"/>
    <w:rsid w:val="0068085A"/>
    <w:rsid w:val="006814E5"/>
    <w:rsid w:val="00693046"/>
    <w:rsid w:val="00697000"/>
    <w:rsid w:val="006A4311"/>
    <w:rsid w:val="006B313D"/>
    <w:rsid w:val="006B510B"/>
    <w:rsid w:val="006B53D9"/>
    <w:rsid w:val="006C4EB6"/>
    <w:rsid w:val="006C645F"/>
    <w:rsid w:val="006D4F57"/>
    <w:rsid w:val="006D5E8E"/>
    <w:rsid w:val="006E140A"/>
    <w:rsid w:val="006E32AA"/>
    <w:rsid w:val="006E4711"/>
    <w:rsid w:val="006E7159"/>
    <w:rsid w:val="006F11CC"/>
    <w:rsid w:val="00701B4B"/>
    <w:rsid w:val="00701F4A"/>
    <w:rsid w:val="007048FB"/>
    <w:rsid w:val="00705222"/>
    <w:rsid w:val="0070778B"/>
    <w:rsid w:val="00712EBD"/>
    <w:rsid w:val="00715D0E"/>
    <w:rsid w:val="00725F70"/>
    <w:rsid w:val="00730623"/>
    <w:rsid w:val="00734C31"/>
    <w:rsid w:val="00742A66"/>
    <w:rsid w:val="00757C86"/>
    <w:rsid w:val="00762C06"/>
    <w:rsid w:val="00763011"/>
    <w:rsid w:val="00767BDA"/>
    <w:rsid w:val="00770B4F"/>
    <w:rsid w:val="00791189"/>
    <w:rsid w:val="00792648"/>
    <w:rsid w:val="0079273E"/>
    <w:rsid w:val="007939FE"/>
    <w:rsid w:val="00796C6B"/>
    <w:rsid w:val="007A5CED"/>
    <w:rsid w:val="007B5744"/>
    <w:rsid w:val="007B6C03"/>
    <w:rsid w:val="007C5502"/>
    <w:rsid w:val="007E3AE2"/>
    <w:rsid w:val="007E56DA"/>
    <w:rsid w:val="00801E7A"/>
    <w:rsid w:val="00805543"/>
    <w:rsid w:val="0081246D"/>
    <w:rsid w:val="00823F53"/>
    <w:rsid w:val="0082615C"/>
    <w:rsid w:val="00832130"/>
    <w:rsid w:val="008332CE"/>
    <w:rsid w:val="00834C50"/>
    <w:rsid w:val="00835F53"/>
    <w:rsid w:val="00841B20"/>
    <w:rsid w:val="0084558E"/>
    <w:rsid w:val="00845CC1"/>
    <w:rsid w:val="00851650"/>
    <w:rsid w:val="00855536"/>
    <w:rsid w:val="00855DD3"/>
    <w:rsid w:val="00857F5B"/>
    <w:rsid w:val="00872C67"/>
    <w:rsid w:val="00874E16"/>
    <w:rsid w:val="008759E8"/>
    <w:rsid w:val="00887B0B"/>
    <w:rsid w:val="00891938"/>
    <w:rsid w:val="00892725"/>
    <w:rsid w:val="008A1317"/>
    <w:rsid w:val="008A22D3"/>
    <w:rsid w:val="008A2EF4"/>
    <w:rsid w:val="008A2FA4"/>
    <w:rsid w:val="008B00E8"/>
    <w:rsid w:val="008B3C04"/>
    <w:rsid w:val="008B3CAB"/>
    <w:rsid w:val="008B437B"/>
    <w:rsid w:val="008B4C12"/>
    <w:rsid w:val="008B66DF"/>
    <w:rsid w:val="008C131F"/>
    <w:rsid w:val="008C680B"/>
    <w:rsid w:val="008E20B7"/>
    <w:rsid w:val="008E279C"/>
    <w:rsid w:val="008E3E84"/>
    <w:rsid w:val="008E52F0"/>
    <w:rsid w:val="008E714C"/>
    <w:rsid w:val="008E7A0F"/>
    <w:rsid w:val="008F05D1"/>
    <w:rsid w:val="008F1B46"/>
    <w:rsid w:val="0090657E"/>
    <w:rsid w:val="00907756"/>
    <w:rsid w:val="0092338A"/>
    <w:rsid w:val="00925770"/>
    <w:rsid w:val="00925B07"/>
    <w:rsid w:val="00925C15"/>
    <w:rsid w:val="009315B0"/>
    <w:rsid w:val="009419F9"/>
    <w:rsid w:val="009457E5"/>
    <w:rsid w:val="0094694C"/>
    <w:rsid w:val="00951FCA"/>
    <w:rsid w:val="009626CF"/>
    <w:rsid w:val="00976945"/>
    <w:rsid w:val="00983F67"/>
    <w:rsid w:val="009903A8"/>
    <w:rsid w:val="009974B8"/>
    <w:rsid w:val="009A14AA"/>
    <w:rsid w:val="009B14AE"/>
    <w:rsid w:val="009B1745"/>
    <w:rsid w:val="009B6618"/>
    <w:rsid w:val="009C1249"/>
    <w:rsid w:val="009C2BDD"/>
    <w:rsid w:val="009D369F"/>
    <w:rsid w:val="009E0FB2"/>
    <w:rsid w:val="009E2579"/>
    <w:rsid w:val="009F0282"/>
    <w:rsid w:val="009F335F"/>
    <w:rsid w:val="009F3479"/>
    <w:rsid w:val="00A05D11"/>
    <w:rsid w:val="00A147E8"/>
    <w:rsid w:val="00A1767C"/>
    <w:rsid w:val="00A24579"/>
    <w:rsid w:val="00A3224F"/>
    <w:rsid w:val="00A40C83"/>
    <w:rsid w:val="00A41B01"/>
    <w:rsid w:val="00A43E02"/>
    <w:rsid w:val="00A53D0F"/>
    <w:rsid w:val="00A63412"/>
    <w:rsid w:val="00A6398F"/>
    <w:rsid w:val="00A66FBE"/>
    <w:rsid w:val="00A724F9"/>
    <w:rsid w:val="00A73AB8"/>
    <w:rsid w:val="00A7611B"/>
    <w:rsid w:val="00A80F05"/>
    <w:rsid w:val="00A825C8"/>
    <w:rsid w:val="00A82CA1"/>
    <w:rsid w:val="00A8490B"/>
    <w:rsid w:val="00A864EE"/>
    <w:rsid w:val="00A87EFF"/>
    <w:rsid w:val="00A96D81"/>
    <w:rsid w:val="00AC6FDB"/>
    <w:rsid w:val="00AC7D17"/>
    <w:rsid w:val="00AD072F"/>
    <w:rsid w:val="00AD1058"/>
    <w:rsid w:val="00AD203F"/>
    <w:rsid w:val="00AD5765"/>
    <w:rsid w:val="00AD7AAF"/>
    <w:rsid w:val="00AE3E62"/>
    <w:rsid w:val="00AE5824"/>
    <w:rsid w:val="00AE78AD"/>
    <w:rsid w:val="00AF0A10"/>
    <w:rsid w:val="00AF558D"/>
    <w:rsid w:val="00B04F03"/>
    <w:rsid w:val="00B078E9"/>
    <w:rsid w:val="00B11630"/>
    <w:rsid w:val="00B12757"/>
    <w:rsid w:val="00B1334A"/>
    <w:rsid w:val="00B16051"/>
    <w:rsid w:val="00B316F6"/>
    <w:rsid w:val="00B373AC"/>
    <w:rsid w:val="00B46704"/>
    <w:rsid w:val="00B46D49"/>
    <w:rsid w:val="00B5113F"/>
    <w:rsid w:val="00B54FA7"/>
    <w:rsid w:val="00B5741C"/>
    <w:rsid w:val="00B762DC"/>
    <w:rsid w:val="00B77E40"/>
    <w:rsid w:val="00B805A1"/>
    <w:rsid w:val="00B80C85"/>
    <w:rsid w:val="00B852A7"/>
    <w:rsid w:val="00B876EB"/>
    <w:rsid w:val="00B90C90"/>
    <w:rsid w:val="00B922CD"/>
    <w:rsid w:val="00B960E7"/>
    <w:rsid w:val="00BA014A"/>
    <w:rsid w:val="00BA099D"/>
    <w:rsid w:val="00BA5B76"/>
    <w:rsid w:val="00BA6360"/>
    <w:rsid w:val="00BA7A95"/>
    <w:rsid w:val="00BB1C78"/>
    <w:rsid w:val="00BB23D1"/>
    <w:rsid w:val="00BB3044"/>
    <w:rsid w:val="00BB3218"/>
    <w:rsid w:val="00BD3693"/>
    <w:rsid w:val="00BE3FA2"/>
    <w:rsid w:val="00BE4BC8"/>
    <w:rsid w:val="00BF1909"/>
    <w:rsid w:val="00C116AD"/>
    <w:rsid w:val="00C12687"/>
    <w:rsid w:val="00C204B8"/>
    <w:rsid w:val="00C226EB"/>
    <w:rsid w:val="00C22BF0"/>
    <w:rsid w:val="00C238E2"/>
    <w:rsid w:val="00C31A7A"/>
    <w:rsid w:val="00C330AA"/>
    <w:rsid w:val="00C342DD"/>
    <w:rsid w:val="00C378E1"/>
    <w:rsid w:val="00C37E14"/>
    <w:rsid w:val="00C41F38"/>
    <w:rsid w:val="00C42DF3"/>
    <w:rsid w:val="00C434AB"/>
    <w:rsid w:val="00C46A73"/>
    <w:rsid w:val="00C5175C"/>
    <w:rsid w:val="00C60FE9"/>
    <w:rsid w:val="00C61925"/>
    <w:rsid w:val="00C70B62"/>
    <w:rsid w:val="00C76EAA"/>
    <w:rsid w:val="00C96BEE"/>
    <w:rsid w:val="00CB2513"/>
    <w:rsid w:val="00CB345D"/>
    <w:rsid w:val="00CC41A0"/>
    <w:rsid w:val="00CC4AA4"/>
    <w:rsid w:val="00CE6D6F"/>
    <w:rsid w:val="00CF2FA5"/>
    <w:rsid w:val="00CF5825"/>
    <w:rsid w:val="00CF59A5"/>
    <w:rsid w:val="00D0156F"/>
    <w:rsid w:val="00D02998"/>
    <w:rsid w:val="00D05328"/>
    <w:rsid w:val="00D143A4"/>
    <w:rsid w:val="00D2000F"/>
    <w:rsid w:val="00D22856"/>
    <w:rsid w:val="00D23741"/>
    <w:rsid w:val="00D2460F"/>
    <w:rsid w:val="00D260E3"/>
    <w:rsid w:val="00D33E94"/>
    <w:rsid w:val="00D3474D"/>
    <w:rsid w:val="00D34D81"/>
    <w:rsid w:val="00D44FA4"/>
    <w:rsid w:val="00D56826"/>
    <w:rsid w:val="00D569EE"/>
    <w:rsid w:val="00D627E6"/>
    <w:rsid w:val="00D64862"/>
    <w:rsid w:val="00D82875"/>
    <w:rsid w:val="00D8338D"/>
    <w:rsid w:val="00D84638"/>
    <w:rsid w:val="00D9556A"/>
    <w:rsid w:val="00DA5D0C"/>
    <w:rsid w:val="00DB27B6"/>
    <w:rsid w:val="00DB3872"/>
    <w:rsid w:val="00DD77FD"/>
    <w:rsid w:val="00DE4ADF"/>
    <w:rsid w:val="00DF576C"/>
    <w:rsid w:val="00DF5B65"/>
    <w:rsid w:val="00E03F91"/>
    <w:rsid w:val="00E10867"/>
    <w:rsid w:val="00E15762"/>
    <w:rsid w:val="00E16314"/>
    <w:rsid w:val="00E17F7C"/>
    <w:rsid w:val="00E2466D"/>
    <w:rsid w:val="00E2641D"/>
    <w:rsid w:val="00E2756E"/>
    <w:rsid w:val="00E34E1C"/>
    <w:rsid w:val="00E35C64"/>
    <w:rsid w:val="00E36509"/>
    <w:rsid w:val="00E37564"/>
    <w:rsid w:val="00E4510D"/>
    <w:rsid w:val="00E4539D"/>
    <w:rsid w:val="00E476AE"/>
    <w:rsid w:val="00E557C7"/>
    <w:rsid w:val="00E55F96"/>
    <w:rsid w:val="00E56F44"/>
    <w:rsid w:val="00E61EF6"/>
    <w:rsid w:val="00E65323"/>
    <w:rsid w:val="00E72AEB"/>
    <w:rsid w:val="00E7418E"/>
    <w:rsid w:val="00E75654"/>
    <w:rsid w:val="00E81995"/>
    <w:rsid w:val="00E874A4"/>
    <w:rsid w:val="00EB0B08"/>
    <w:rsid w:val="00EB19B1"/>
    <w:rsid w:val="00EC1369"/>
    <w:rsid w:val="00ED1C08"/>
    <w:rsid w:val="00ED576D"/>
    <w:rsid w:val="00EE0712"/>
    <w:rsid w:val="00EE42F3"/>
    <w:rsid w:val="00EF0629"/>
    <w:rsid w:val="00F0198C"/>
    <w:rsid w:val="00F07572"/>
    <w:rsid w:val="00F13561"/>
    <w:rsid w:val="00F13B65"/>
    <w:rsid w:val="00F14440"/>
    <w:rsid w:val="00F26A6F"/>
    <w:rsid w:val="00F30DA6"/>
    <w:rsid w:val="00F311E1"/>
    <w:rsid w:val="00F40656"/>
    <w:rsid w:val="00F46BE5"/>
    <w:rsid w:val="00F568ED"/>
    <w:rsid w:val="00F613EB"/>
    <w:rsid w:val="00F6505F"/>
    <w:rsid w:val="00F651F5"/>
    <w:rsid w:val="00F71E48"/>
    <w:rsid w:val="00F738D5"/>
    <w:rsid w:val="00F77364"/>
    <w:rsid w:val="00F82F7E"/>
    <w:rsid w:val="00F93F06"/>
    <w:rsid w:val="00F941F7"/>
    <w:rsid w:val="00F94523"/>
    <w:rsid w:val="00F94C6B"/>
    <w:rsid w:val="00F959FA"/>
    <w:rsid w:val="00F97F84"/>
    <w:rsid w:val="00FA2A4A"/>
    <w:rsid w:val="00FA6356"/>
    <w:rsid w:val="00FA6BE7"/>
    <w:rsid w:val="00FA7E33"/>
    <w:rsid w:val="00FB02C4"/>
    <w:rsid w:val="00FB49A8"/>
    <w:rsid w:val="00FD2D13"/>
    <w:rsid w:val="00FD752A"/>
    <w:rsid w:val="00FE13D9"/>
    <w:rsid w:val="00FE2A74"/>
    <w:rsid w:val="00FE51AE"/>
    <w:rsid w:val="00FE72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A0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B32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E20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367B"/>
    <w:rPr>
      <w:rFonts w:cs="Times New Roman"/>
      <w:sz w:val="2"/>
      <w:lang w:val="en-US" w:eastAsia="en-US"/>
    </w:rPr>
  </w:style>
  <w:style w:type="paragraph" w:styleId="Header">
    <w:name w:val="header"/>
    <w:basedOn w:val="Normal"/>
    <w:link w:val="HeaderChar"/>
    <w:uiPriority w:val="99"/>
    <w:rsid w:val="009C1249"/>
    <w:pPr>
      <w:tabs>
        <w:tab w:val="center" w:pos="4320"/>
        <w:tab w:val="right" w:pos="8640"/>
      </w:tabs>
    </w:pPr>
  </w:style>
  <w:style w:type="character" w:customStyle="1" w:styleId="HeaderChar">
    <w:name w:val="Header Char"/>
    <w:basedOn w:val="DefaultParagraphFont"/>
    <w:link w:val="Header"/>
    <w:uiPriority w:val="99"/>
    <w:semiHidden/>
    <w:locked/>
    <w:rsid w:val="0067367B"/>
    <w:rPr>
      <w:rFonts w:cs="Times New Roman"/>
      <w:sz w:val="24"/>
      <w:szCs w:val="24"/>
      <w:lang w:val="en-US" w:eastAsia="en-US"/>
    </w:rPr>
  </w:style>
  <w:style w:type="paragraph" w:styleId="Footer">
    <w:name w:val="footer"/>
    <w:basedOn w:val="Normal"/>
    <w:link w:val="FooterChar"/>
    <w:uiPriority w:val="99"/>
    <w:rsid w:val="009C1249"/>
    <w:pPr>
      <w:tabs>
        <w:tab w:val="center" w:pos="4320"/>
        <w:tab w:val="right" w:pos="8640"/>
      </w:tabs>
    </w:pPr>
  </w:style>
  <w:style w:type="character" w:customStyle="1" w:styleId="FooterChar">
    <w:name w:val="Footer Char"/>
    <w:basedOn w:val="DefaultParagraphFont"/>
    <w:link w:val="Footer"/>
    <w:uiPriority w:val="99"/>
    <w:semiHidden/>
    <w:locked/>
    <w:rsid w:val="0067367B"/>
    <w:rPr>
      <w:rFonts w:cs="Times New Roman"/>
      <w:sz w:val="24"/>
      <w:szCs w:val="24"/>
      <w:lang w:val="en-US" w:eastAsia="en-US"/>
    </w:rPr>
  </w:style>
  <w:style w:type="character" w:styleId="CommentReference">
    <w:name w:val="annotation reference"/>
    <w:basedOn w:val="DefaultParagraphFont"/>
    <w:uiPriority w:val="99"/>
    <w:semiHidden/>
    <w:rsid w:val="009315B0"/>
    <w:rPr>
      <w:rFonts w:cs="Times New Roman"/>
      <w:sz w:val="16"/>
    </w:rPr>
  </w:style>
  <w:style w:type="paragraph" w:styleId="CommentText">
    <w:name w:val="annotation text"/>
    <w:basedOn w:val="Normal"/>
    <w:link w:val="CommentTextChar"/>
    <w:uiPriority w:val="99"/>
    <w:semiHidden/>
    <w:rsid w:val="009315B0"/>
    <w:rPr>
      <w:sz w:val="20"/>
      <w:szCs w:val="20"/>
    </w:rPr>
  </w:style>
  <w:style w:type="character" w:customStyle="1" w:styleId="CommentTextChar">
    <w:name w:val="Comment Text Char"/>
    <w:basedOn w:val="DefaultParagraphFont"/>
    <w:link w:val="CommentText"/>
    <w:uiPriority w:val="99"/>
    <w:semiHidden/>
    <w:locked/>
    <w:rsid w:val="0067367B"/>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9315B0"/>
    <w:rPr>
      <w:b/>
      <w:bCs/>
    </w:rPr>
  </w:style>
  <w:style w:type="character" w:customStyle="1" w:styleId="CommentSubjectChar">
    <w:name w:val="Comment Subject Char"/>
    <w:basedOn w:val="CommentTextChar"/>
    <w:link w:val="CommentSubject"/>
    <w:uiPriority w:val="99"/>
    <w:semiHidden/>
    <w:locked/>
    <w:rsid w:val="0067367B"/>
    <w:rPr>
      <w:rFonts w:cs="Times New Roman"/>
      <w:b/>
      <w:bCs/>
      <w:sz w:val="20"/>
      <w:szCs w:val="20"/>
      <w:lang w:val="en-US" w:eastAsia="en-US"/>
    </w:rPr>
  </w:style>
  <w:style w:type="character" w:styleId="PageNumber">
    <w:name w:val="page number"/>
    <w:basedOn w:val="DefaultParagraphFont"/>
    <w:uiPriority w:val="99"/>
    <w:rsid w:val="002100D8"/>
    <w:rPr>
      <w:rFonts w:cs="Times New Roman"/>
    </w:rPr>
  </w:style>
  <w:style w:type="paragraph" w:styleId="NoSpacing">
    <w:name w:val="No Spacing"/>
    <w:uiPriority w:val="99"/>
    <w:qFormat/>
    <w:rsid w:val="00AC6FDB"/>
    <w:rPr>
      <w:sz w:val="24"/>
      <w:szCs w:val="24"/>
      <w:lang w:val="en-US" w:eastAsia="en-US"/>
    </w:rPr>
  </w:style>
  <w:style w:type="paragraph" w:styleId="ListParagraph">
    <w:name w:val="List Paragraph"/>
    <w:basedOn w:val="Normal"/>
    <w:uiPriority w:val="34"/>
    <w:qFormat/>
    <w:rsid w:val="00312FC9"/>
    <w:pPr>
      <w:ind w:left="720"/>
      <w:contextualSpacing/>
    </w:pPr>
  </w:style>
  <w:style w:type="character" w:styleId="Hyperlink">
    <w:name w:val="Hyperlink"/>
    <w:basedOn w:val="DefaultParagraphFont"/>
    <w:uiPriority w:val="99"/>
    <w:unhideWhenUsed/>
    <w:rsid w:val="00272BED"/>
    <w:rPr>
      <w:color w:val="0000FF" w:themeColor="hyperlink"/>
      <w:u w:val="single"/>
    </w:rPr>
  </w:style>
  <w:style w:type="paragraph" w:styleId="FootnoteText">
    <w:name w:val="footnote text"/>
    <w:basedOn w:val="Normal"/>
    <w:link w:val="FootnoteTextChar"/>
    <w:uiPriority w:val="99"/>
    <w:semiHidden/>
    <w:unhideWhenUsed/>
    <w:rsid w:val="00615FAE"/>
    <w:rPr>
      <w:sz w:val="20"/>
      <w:szCs w:val="20"/>
    </w:rPr>
  </w:style>
  <w:style w:type="character" w:customStyle="1" w:styleId="FootnoteTextChar">
    <w:name w:val="Footnote Text Char"/>
    <w:basedOn w:val="DefaultParagraphFont"/>
    <w:link w:val="FootnoteText"/>
    <w:uiPriority w:val="99"/>
    <w:semiHidden/>
    <w:rsid w:val="00615FAE"/>
    <w:rPr>
      <w:sz w:val="20"/>
      <w:szCs w:val="20"/>
      <w:lang w:val="en-US" w:eastAsia="en-US"/>
    </w:rPr>
  </w:style>
  <w:style w:type="character" w:styleId="FootnoteReference">
    <w:name w:val="footnote reference"/>
    <w:basedOn w:val="DefaultParagraphFont"/>
    <w:uiPriority w:val="99"/>
    <w:semiHidden/>
    <w:unhideWhenUsed/>
    <w:rsid w:val="00615F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A0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B32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E20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367B"/>
    <w:rPr>
      <w:rFonts w:cs="Times New Roman"/>
      <w:sz w:val="2"/>
      <w:lang w:val="en-US" w:eastAsia="en-US"/>
    </w:rPr>
  </w:style>
  <w:style w:type="paragraph" w:styleId="Header">
    <w:name w:val="header"/>
    <w:basedOn w:val="Normal"/>
    <w:link w:val="HeaderChar"/>
    <w:uiPriority w:val="99"/>
    <w:rsid w:val="009C1249"/>
    <w:pPr>
      <w:tabs>
        <w:tab w:val="center" w:pos="4320"/>
        <w:tab w:val="right" w:pos="8640"/>
      </w:tabs>
    </w:pPr>
  </w:style>
  <w:style w:type="character" w:customStyle="1" w:styleId="HeaderChar">
    <w:name w:val="Header Char"/>
    <w:basedOn w:val="DefaultParagraphFont"/>
    <w:link w:val="Header"/>
    <w:uiPriority w:val="99"/>
    <w:semiHidden/>
    <w:locked/>
    <w:rsid w:val="0067367B"/>
    <w:rPr>
      <w:rFonts w:cs="Times New Roman"/>
      <w:sz w:val="24"/>
      <w:szCs w:val="24"/>
      <w:lang w:val="en-US" w:eastAsia="en-US"/>
    </w:rPr>
  </w:style>
  <w:style w:type="paragraph" w:styleId="Footer">
    <w:name w:val="footer"/>
    <w:basedOn w:val="Normal"/>
    <w:link w:val="FooterChar"/>
    <w:uiPriority w:val="99"/>
    <w:rsid w:val="009C1249"/>
    <w:pPr>
      <w:tabs>
        <w:tab w:val="center" w:pos="4320"/>
        <w:tab w:val="right" w:pos="8640"/>
      </w:tabs>
    </w:pPr>
  </w:style>
  <w:style w:type="character" w:customStyle="1" w:styleId="FooterChar">
    <w:name w:val="Footer Char"/>
    <w:basedOn w:val="DefaultParagraphFont"/>
    <w:link w:val="Footer"/>
    <w:uiPriority w:val="99"/>
    <w:semiHidden/>
    <w:locked/>
    <w:rsid w:val="0067367B"/>
    <w:rPr>
      <w:rFonts w:cs="Times New Roman"/>
      <w:sz w:val="24"/>
      <w:szCs w:val="24"/>
      <w:lang w:val="en-US" w:eastAsia="en-US"/>
    </w:rPr>
  </w:style>
  <w:style w:type="character" w:styleId="CommentReference">
    <w:name w:val="annotation reference"/>
    <w:basedOn w:val="DefaultParagraphFont"/>
    <w:uiPriority w:val="99"/>
    <w:semiHidden/>
    <w:rsid w:val="009315B0"/>
    <w:rPr>
      <w:rFonts w:cs="Times New Roman"/>
      <w:sz w:val="16"/>
    </w:rPr>
  </w:style>
  <w:style w:type="paragraph" w:styleId="CommentText">
    <w:name w:val="annotation text"/>
    <w:basedOn w:val="Normal"/>
    <w:link w:val="CommentTextChar"/>
    <w:uiPriority w:val="99"/>
    <w:semiHidden/>
    <w:rsid w:val="009315B0"/>
    <w:rPr>
      <w:sz w:val="20"/>
      <w:szCs w:val="20"/>
    </w:rPr>
  </w:style>
  <w:style w:type="character" w:customStyle="1" w:styleId="CommentTextChar">
    <w:name w:val="Comment Text Char"/>
    <w:basedOn w:val="DefaultParagraphFont"/>
    <w:link w:val="CommentText"/>
    <w:uiPriority w:val="99"/>
    <w:semiHidden/>
    <w:locked/>
    <w:rsid w:val="0067367B"/>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9315B0"/>
    <w:rPr>
      <w:b/>
      <w:bCs/>
    </w:rPr>
  </w:style>
  <w:style w:type="character" w:customStyle="1" w:styleId="CommentSubjectChar">
    <w:name w:val="Comment Subject Char"/>
    <w:basedOn w:val="CommentTextChar"/>
    <w:link w:val="CommentSubject"/>
    <w:uiPriority w:val="99"/>
    <w:semiHidden/>
    <w:locked/>
    <w:rsid w:val="0067367B"/>
    <w:rPr>
      <w:rFonts w:cs="Times New Roman"/>
      <w:b/>
      <w:bCs/>
      <w:sz w:val="20"/>
      <w:szCs w:val="20"/>
      <w:lang w:val="en-US" w:eastAsia="en-US"/>
    </w:rPr>
  </w:style>
  <w:style w:type="character" w:styleId="PageNumber">
    <w:name w:val="page number"/>
    <w:basedOn w:val="DefaultParagraphFont"/>
    <w:uiPriority w:val="99"/>
    <w:rsid w:val="002100D8"/>
    <w:rPr>
      <w:rFonts w:cs="Times New Roman"/>
    </w:rPr>
  </w:style>
  <w:style w:type="paragraph" w:styleId="NoSpacing">
    <w:name w:val="No Spacing"/>
    <w:uiPriority w:val="99"/>
    <w:qFormat/>
    <w:rsid w:val="00AC6FDB"/>
    <w:rPr>
      <w:sz w:val="24"/>
      <w:szCs w:val="24"/>
      <w:lang w:val="en-US" w:eastAsia="en-US"/>
    </w:rPr>
  </w:style>
  <w:style w:type="paragraph" w:styleId="ListParagraph">
    <w:name w:val="List Paragraph"/>
    <w:basedOn w:val="Normal"/>
    <w:uiPriority w:val="34"/>
    <w:qFormat/>
    <w:rsid w:val="00312FC9"/>
    <w:pPr>
      <w:ind w:left="720"/>
      <w:contextualSpacing/>
    </w:pPr>
  </w:style>
  <w:style w:type="character" w:styleId="Hyperlink">
    <w:name w:val="Hyperlink"/>
    <w:basedOn w:val="DefaultParagraphFont"/>
    <w:uiPriority w:val="99"/>
    <w:unhideWhenUsed/>
    <w:rsid w:val="00272BED"/>
    <w:rPr>
      <w:color w:val="0000FF" w:themeColor="hyperlink"/>
      <w:u w:val="single"/>
    </w:rPr>
  </w:style>
  <w:style w:type="paragraph" w:styleId="FootnoteText">
    <w:name w:val="footnote text"/>
    <w:basedOn w:val="Normal"/>
    <w:link w:val="FootnoteTextChar"/>
    <w:uiPriority w:val="99"/>
    <w:semiHidden/>
    <w:unhideWhenUsed/>
    <w:rsid w:val="00615FAE"/>
    <w:rPr>
      <w:sz w:val="20"/>
      <w:szCs w:val="20"/>
    </w:rPr>
  </w:style>
  <w:style w:type="character" w:customStyle="1" w:styleId="FootnoteTextChar">
    <w:name w:val="Footnote Text Char"/>
    <w:basedOn w:val="DefaultParagraphFont"/>
    <w:link w:val="FootnoteText"/>
    <w:uiPriority w:val="99"/>
    <w:semiHidden/>
    <w:rsid w:val="00615FAE"/>
    <w:rPr>
      <w:sz w:val="20"/>
      <w:szCs w:val="20"/>
      <w:lang w:val="en-US" w:eastAsia="en-US"/>
    </w:rPr>
  </w:style>
  <w:style w:type="character" w:styleId="FootnoteReference">
    <w:name w:val="footnote reference"/>
    <w:basedOn w:val="DefaultParagraphFont"/>
    <w:uiPriority w:val="99"/>
    <w:semiHidden/>
    <w:unhideWhenUsed/>
    <w:rsid w:val="00615F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4372">
      <w:marLeft w:val="0"/>
      <w:marRight w:val="0"/>
      <w:marTop w:val="0"/>
      <w:marBottom w:val="0"/>
      <w:divBdr>
        <w:top w:val="none" w:sz="0" w:space="0" w:color="auto"/>
        <w:left w:val="none" w:sz="0" w:space="0" w:color="auto"/>
        <w:bottom w:val="none" w:sz="0" w:space="0" w:color="auto"/>
        <w:right w:val="none" w:sz="0" w:space="0" w:color="auto"/>
      </w:divBdr>
    </w:div>
    <w:div w:id="385564373">
      <w:marLeft w:val="0"/>
      <w:marRight w:val="0"/>
      <w:marTop w:val="0"/>
      <w:marBottom w:val="0"/>
      <w:divBdr>
        <w:top w:val="none" w:sz="0" w:space="0" w:color="auto"/>
        <w:left w:val="none" w:sz="0" w:space="0" w:color="auto"/>
        <w:bottom w:val="none" w:sz="0" w:space="0" w:color="auto"/>
        <w:right w:val="none" w:sz="0" w:space="0" w:color="auto"/>
      </w:divBdr>
    </w:div>
    <w:div w:id="3855643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ontarioenergyboard.ca/OEB/_Documents/Documents/Report_Renewed_Regulatory_Framework_RRFE_20121018.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8D323-F4AE-4031-A235-0BF5BD0C6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5606</Words>
  <Characters>27513</Characters>
  <Application>Microsoft Office Word</Application>
  <DocSecurity>0</DocSecurity>
  <Lines>229</Lines>
  <Paragraphs>66</Paragraphs>
  <ScaleCrop>false</ScaleCrop>
  <HeadingPairs>
    <vt:vector size="2" baseType="variant">
      <vt:variant>
        <vt:lpstr>Title</vt:lpstr>
      </vt:variant>
      <vt:variant>
        <vt:i4>1</vt:i4>
      </vt:variant>
    </vt:vector>
  </HeadingPairs>
  <TitlesOfParts>
    <vt:vector size="1" baseType="lpstr">
      <vt:lpstr>AGENDA</vt:lpstr>
    </vt:vector>
  </TitlesOfParts>
  <Company>Ontario Energy Board</Company>
  <LinksUpToDate>false</LinksUpToDate>
  <CharactersWithSpaces>33053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JaffraBe</dc:creator>
  <cp:lastModifiedBy>Rachel Anderson</cp:lastModifiedBy>
  <cp:revision>3</cp:revision>
  <cp:lastPrinted>2011-04-07T15:47:00Z</cp:lastPrinted>
  <dcterms:created xsi:type="dcterms:W3CDTF">2012-12-03T20:01:00Z</dcterms:created>
  <dcterms:modified xsi:type="dcterms:W3CDTF">2012-12-03T20:05:00Z</dcterms:modified>
</cp:coreProperties>
</file>