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CBA" w:rsidRPr="00BB45D6" w:rsidRDefault="00BB45D6" w:rsidP="000003CD">
      <w:pPr>
        <w:pStyle w:val="ListParagraph"/>
        <w:ind w:left="0"/>
        <w:rPr>
          <w:sz w:val="24"/>
          <w:szCs w:val="20"/>
        </w:rPr>
      </w:pPr>
      <w:r w:rsidRPr="00BB45D6">
        <w:rPr>
          <w:sz w:val="24"/>
          <w:szCs w:val="20"/>
        </w:rPr>
        <w:t xml:space="preserve">In April 2016, OEB staff held a series of </w:t>
      </w:r>
      <w:r w:rsidR="00C80EA6">
        <w:rPr>
          <w:sz w:val="24"/>
          <w:szCs w:val="20"/>
        </w:rPr>
        <w:t>preliminary</w:t>
      </w:r>
      <w:r w:rsidRPr="00BB45D6">
        <w:rPr>
          <w:sz w:val="24"/>
          <w:szCs w:val="20"/>
        </w:rPr>
        <w:t xml:space="preserve"> meetings with </w:t>
      </w:r>
      <w:r>
        <w:rPr>
          <w:sz w:val="24"/>
          <w:szCs w:val="20"/>
        </w:rPr>
        <w:t xml:space="preserve">targeted </w:t>
      </w:r>
      <w:r w:rsidRPr="00BB45D6">
        <w:rPr>
          <w:sz w:val="24"/>
          <w:szCs w:val="20"/>
        </w:rPr>
        <w:t>stakeholder</w:t>
      </w:r>
      <w:r>
        <w:rPr>
          <w:sz w:val="24"/>
          <w:szCs w:val="20"/>
        </w:rPr>
        <w:t>s – natural gas utilities, large-volume natural gas industry groups, low-volume consumer ratepayer groups, and the environmental groups</w:t>
      </w:r>
      <w:r w:rsidRPr="00BB45D6">
        <w:rPr>
          <w:sz w:val="24"/>
          <w:szCs w:val="20"/>
        </w:rPr>
        <w:t>.  At these meetings, staff presented material (</w:t>
      </w:r>
      <w:hyperlink r:id="rId9" w:history="1">
        <w:r w:rsidRPr="00403438">
          <w:rPr>
            <w:rStyle w:val="Hyperlink"/>
            <w:sz w:val="24"/>
            <w:szCs w:val="20"/>
          </w:rPr>
          <w:t>post</w:t>
        </w:r>
        <w:r w:rsidRPr="00403438">
          <w:rPr>
            <w:rStyle w:val="Hyperlink"/>
            <w:sz w:val="24"/>
            <w:szCs w:val="20"/>
          </w:rPr>
          <w:t>ed on OEB’s website</w:t>
        </w:r>
      </w:hyperlink>
      <w:r w:rsidR="00403438">
        <w:rPr>
          <w:sz w:val="24"/>
          <w:szCs w:val="20"/>
        </w:rPr>
        <w:t>)</w:t>
      </w:r>
      <w:r w:rsidR="00935B35">
        <w:rPr>
          <w:sz w:val="24"/>
          <w:szCs w:val="20"/>
        </w:rPr>
        <w:t xml:space="preserve"> </w:t>
      </w:r>
      <w:r w:rsidRPr="00BB45D6">
        <w:rPr>
          <w:sz w:val="24"/>
          <w:szCs w:val="20"/>
        </w:rPr>
        <w:t xml:space="preserve">to initiate discussion on a </w:t>
      </w:r>
      <w:r w:rsidR="00E300C0">
        <w:rPr>
          <w:sz w:val="24"/>
          <w:szCs w:val="20"/>
        </w:rPr>
        <w:t xml:space="preserve">draft </w:t>
      </w:r>
      <w:r w:rsidRPr="00BB45D6">
        <w:rPr>
          <w:sz w:val="24"/>
          <w:szCs w:val="20"/>
        </w:rPr>
        <w:t xml:space="preserve">cap and trade framework for </w:t>
      </w:r>
      <w:r w:rsidR="00E300C0">
        <w:rPr>
          <w:sz w:val="24"/>
          <w:szCs w:val="20"/>
        </w:rPr>
        <w:t xml:space="preserve">OEB rate-regulated </w:t>
      </w:r>
      <w:r w:rsidRPr="00BB45D6">
        <w:rPr>
          <w:sz w:val="24"/>
          <w:szCs w:val="20"/>
        </w:rPr>
        <w:t>natural gas utilities</w:t>
      </w:r>
      <w:r w:rsidR="00E300C0">
        <w:rPr>
          <w:sz w:val="24"/>
          <w:szCs w:val="20"/>
        </w:rPr>
        <w:t xml:space="preserve"> (the utilities)</w:t>
      </w:r>
      <w:r w:rsidRPr="00BB45D6">
        <w:rPr>
          <w:sz w:val="24"/>
          <w:szCs w:val="20"/>
        </w:rPr>
        <w:t xml:space="preserve">.  Staff outlined its initial thinking on the key elements of what the regulatory framework should include; and the issues and options for each of these elements.  </w:t>
      </w:r>
      <w:bookmarkStart w:id="0" w:name="_GoBack"/>
      <w:bookmarkEnd w:id="0"/>
    </w:p>
    <w:p w:rsidR="00140243" w:rsidRPr="00B72380" w:rsidRDefault="00140243" w:rsidP="000003CD">
      <w:pPr>
        <w:pStyle w:val="ListParagraph"/>
        <w:ind w:left="0"/>
        <w:rPr>
          <w:b/>
          <w:sz w:val="24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7908"/>
      </w:tblGrid>
      <w:tr w:rsidR="00AF58E6" w:rsidRPr="00B72380" w:rsidTr="00E300C0">
        <w:trPr>
          <w:trHeight w:val="510"/>
          <w:tblHeader/>
        </w:trPr>
        <w:tc>
          <w:tcPr>
            <w:tcW w:w="1560" w:type="dxa"/>
          </w:tcPr>
          <w:p w:rsidR="00AF58E6" w:rsidRPr="00B72380" w:rsidRDefault="00864017" w:rsidP="0061521A">
            <w:pPr>
              <w:rPr>
                <w:b/>
                <w:sz w:val="23"/>
                <w:szCs w:val="23"/>
              </w:rPr>
            </w:pPr>
            <w:r w:rsidRPr="00B72380">
              <w:rPr>
                <w:b/>
                <w:sz w:val="23"/>
                <w:szCs w:val="23"/>
              </w:rPr>
              <w:t xml:space="preserve"> </w:t>
            </w:r>
            <w:r w:rsidR="0061521A">
              <w:rPr>
                <w:b/>
                <w:sz w:val="23"/>
                <w:szCs w:val="23"/>
              </w:rPr>
              <w:t>Topics</w:t>
            </w:r>
          </w:p>
        </w:tc>
        <w:tc>
          <w:tcPr>
            <w:tcW w:w="7908" w:type="dxa"/>
          </w:tcPr>
          <w:p w:rsidR="00AF58E6" w:rsidRPr="00B72380" w:rsidRDefault="00AF58E6" w:rsidP="00AF58E6">
            <w:pPr>
              <w:ind w:left="72"/>
              <w:rPr>
                <w:b/>
                <w:sz w:val="23"/>
                <w:szCs w:val="23"/>
              </w:rPr>
            </w:pPr>
            <w:r w:rsidRPr="00B72380">
              <w:rPr>
                <w:b/>
                <w:sz w:val="23"/>
                <w:szCs w:val="23"/>
              </w:rPr>
              <w:t>Summary Notes of Stakeholder Comments</w:t>
            </w:r>
          </w:p>
        </w:tc>
      </w:tr>
      <w:tr w:rsidR="0044180F" w:rsidRPr="00B72380" w:rsidTr="00E300C0">
        <w:trPr>
          <w:trHeight w:val="2465"/>
        </w:trPr>
        <w:tc>
          <w:tcPr>
            <w:tcW w:w="1560" w:type="dxa"/>
          </w:tcPr>
          <w:p w:rsidR="0044180F" w:rsidRPr="00B72380" w:rsidRDefault="00AF58E6" w:rsidP="00AF58E6">
            <w:pPr>
              <w:rPr>
                <w:b/>
                <w:sz w:val="23"/>
                <w:szCs w:val="23"/>
              </w:rPr>
            </w:pPr>
            <w:r w:rsidRPr="00B72380">
              <w:rPr>
                <w:b/>
                <w:sz w:val="23"/>
                <w:szCs w:val="23"/>
              </w:rPr>
              <w:t>Compliance Plans</w:t>
            </w:r>
          </w:p>
        </w:tc>
        <w:tc>
          <w:tcPr>
            <w:tcW w:w="7908" w:type="dxa"/>
          </w:tcPr>
          <w:p w:rsidR="00A30A1B" w:rsidRPr="00B72380" w:rsidRDefault="00A30A1B" w:rsidP="00A30A1B">
            <w:pPr>
              <w:pStyle w:val="ListParagraph"/>
              <w:numPr>
                <w:ilvl w:val="0"/>
                <w:numId w:val="12"/>
              </w:numPr>
              <w:ind w:left="252" w:hanging="180"/>
              <w:rPr>
                <w:b/>
                <w:sz w:val="23"/>
                <w:szCs w:val="23"/>
                <w:u w:val="single"/>
              </w:rPr>
            </w:pPr>
            <w:r w:rsidRPr="00B72380">
              <w:rPr>
                <w:sz w:val="23"/>
                <w:szCs w:val="23"/>
              </w:rPr>
              <w:t xml:space="preserve">General agreement with staff’s proposal re level of guidance; small </w:t>
            </w:r>
            <w:r w:rsidR="004A43E7">
              <w:rPr>
                <w:sz w:val="23"/>
                <w:szCs w:val="23"/>
              </w:rPr>
              <w:t xml:space="preserve">volume </w:t>
            </w:r>
            <w:r w:rsidRPr="00B72380">
              <w:rPr>
                <w:sz w:val="23"/>
                <w:szCs w:val="23"/>
              </w:rPr>
              <w:t xml:space="preserve">rate payer groups voiced a concern that risk </w:t>
            </w:r>
            <w:r w:rsidR="004A43E7">
              <w:rPr>
                <w:sz w:val="23"/>
                <w:szCs w:val="23"/>
              </w:rPr>
              <w:t xml:space="preserve">may </w:t>
            </w:r>
            <w:r w:rsidRPr="00B72380">
              <w:rPr>
                <w:sz w:val="23"/>
                <w:szCs w:val="23"/>
              </w:rPr>
              <w:t>increase with market complexity therefore, OEB’s level of oversight may also have to increase</w:t>
            </w:r>
          </w:p>
          <w:p w:rsidR="00D42053" w:rsidRPr="00B72380" w:rsidRDefault="00D42053" w:rsidP="00D42053">
            <w:pPr>
              <w:pStyle w:val="ListParagraph"/>
              <w:numPr>
                <w:ilvl w:val="0"/>
                <w:numId w:val="12"/>
              </w:numPr>
              <w:ind w:left="252" w:hanging="180"/>
              <w:rPr>
                <w:sz w:val="23"/>
                <w:szCs w:val="23"/>
              </w:rPr>
            </w:pPr>
            <w:r w:rsidRPr="00B72380">
              <w:rPr>
                <w:sz w:val="23"/>
                <w:szCs w:val="23"/>
              </w:rPr>
              <w:t xml:space="preserve">First year </w:t>
            </w:r>
            <w:r w:rsidR="00A30A1B" w:rsidRPr="00B72380">
              <w:rPr>
                <w:sz w:val="23"/>
                <w:szCs w:val="23"/>
              </w:rPr>
              <w:t>of Compliance P</w:t>
            </w:r>
            <w:r w:rsidRPr="00B72380">
              <w:rPr>
                <w:sz w:val="23"/>
                <w:szCs w:val="23"/>
              </w:rPr>
              <w:t>lan should be viewed differently than year</w:t>
            </w:r>
            <w:r w:rsidR="00AE14D1">
              <w:rPr>
                <w:sz w:val="23"/>
                <w:szCs w:val="23"/>
              </w:rPr>
              <w:t>s</w:t>
            </w:r>
            <w:r w:rsidRPr="00B72380">
              <w:rPr>
                <w:sz w:val="23"/>
                <w:szCs w:val="23"/>
              </w:rPr>
              <w:t xml:space="preserve"> 2, 3, 4 </w:t>
            </w:r>
            <w:r w:rsidR="001C1B5E">
              <w:rPr>
                <w:sz w:val="23"/>
                <w:szCs w:val="23"/>
              </w:rPr>
              <w:t>and subsequent compliance p</w:t>
            </w:r>
            <w:r w:rsidR="00170D82">
              <w:rPr>
                <w:sz w:val="23"/>
                <w:szCs w:val="23"/>
              </w:rPr>
              <w:t>lans</w:t>
            </w:r>
            <w:r w:rsidRPr="00B72380">
              <w:rPr>
                <w:sz w:val="23"/>
                <w:szCs w:val="23"/>
              </w:rPr>
              <w:t xml:space="preserve">; </w:t>
            </w:r>
            <w:r w:rsidR="004A43E7">
              <w:rPr>
                <w:sz w:val="23"/>
                <w:szCs w:val="23"/>
              </w:rPr>
              <w:t xml:space="preserve">the utilities </w:t>
            </w:r>
            <w:r w:rsidRPr="00B72380">
              <w:rPr>
                <w:sz w:val="23"/>
                <w:szCs w:val="23"/>
              </w:rPr>
              <w:t xml:space="preserve">need to walk before </w:t>
            </w:r>
            <w:r w:rsidR="004A43E7">
              <w:rPr>
                <w:sz w:val="23"/>
                <w:szCs w:val="23"/>
              </w:rPr>
              <w:t xml:space="preserve">they </w:t>
            </w:r>
            <w:r w:rsidRPr="00B72380">
              <w:rPr>
                <w:sz w:val="23"/>
                <w:szCs w:val="23"/>
              </w:rPr>
              <w:t>can run</w:t>
            </w:r>
          </w:p>
          <w:p w:rsidR="00D42053" w:rsidRPr="00B72380" w:rsidRDefault="001C3379" w:rsidP="00903D2C">
            <w:pPr>
              <w:pStyle w:val="ListParagraph"/>
              <w:numPr>
                <w:ilvl w:val="0"/>
                <w:numId w:val="12"/>
              </w:numPr>
              <w:ind w:left="252" w:hanging="180"/>
              <w:rPr>
                <w:sz w:val="23"/>
                <w:szCs w:val="23"/>
              </w:rPr>
            </w:pPr>
            <w:r w:rsidRPr="00B72380">
              <w:rPr>
                <w:sz w:val="23"/>
                <w:szCs w:val="23"/>
              </w:rPr>
              <w:t xml:space="preserve">Need to understand metrics for </w:t>
            </w:r>
            <w:r w:rsidR="00A30A1B" w:rsidRPr="00B72380">
              <w:rPr>
                <w:sz w:val="23"/>
                <w:szCs w:val="23"/>
              </w:rPr>
              <w:t>C</w:t>
            </w:r>
            <w:r w:rsidRPr="00B72380">
              <w:rPr>
                <w:sz w:val="23"/>
                <w:szCs w:val="23"/>
              </w:rPr>
              <w:t xml:space="preserve">ompliance </w:t>
            </w:r>
            <w:r w:rsidR="00A30A1B" w:rsidRPr="00B72380">
              <w:rPr>
                <w:sz w:val="23"/>
                <w:szCs w:val="23"/>
              </w:rPr>
              <w:t>P</w:t>
            </w:r>
            <w:r w:rsidRPr="00B72380">
              <w:rPr>
                <w:sz w:val="23"/>
                <w:szCs w:val="23"/>
              </w:rPr>
              <w:t>lan assessments up front; a</w:t>
            </w:r>
            <w:r w:rsidR="00D42053" w:rsidRPr="00B72380">
              <w:rPr>
                <w:sz w:val="23"/>
                <w:szCs w:val="23"/>
              </w:rPr>
              <w:t>ssessment should include both quantitative and qualitative analysis</w:t>
            </w:r>
            <w:r w:rsidRPr="00B72380">
              <w:rPr>
                <w:sz w:val="23"/>
                <w:szCs w:val="23"/>
              </w:rPr>
              <w:t xml:space="preserve"> </w:t>
            </w:r>
          </w:p>
          <w:p w:rsidR="00D42053" w:rsidRPr="00B72380" w:rsidRDefault="00D42053" w:rsidP="00D42053">
            <w:pPr>
              <w:pStyle w:val="ListParagraph"/>
              <w:numPr>
                <w:ilvl w:val="0"/>
                <w:numId w:val="12"/>
              </w:numPr>
              <w:ind w:left="252" w:hanging="180"/>
              <w:rPr>
                <w:sz w:val="23"/>
                <w:szCs w:val="23"/>
              </w:rPr>
            </w:pPr>
            <w:r w:rsidRPr="00B72380">
              <w:rPr>
                <w:sz w:val="23"/>
                <w:szCs w:val="23"/>
              </w:rPr>
              <w:t xml:space="preserve">General agreement that </w:t>
            </w:r>
            <w:r w:rsidR="001C1B5E">
              <w:rPr>
                <w:sz w:val="23"/>
                <w:szCs w:val="23"/>
              </w:rPr>
              <w:t xml:space="preserve">cost recovery for </w:t>
            </w:r>
            <w:r w:rsidRPr="00B72380">
              <w:rPr>
                <w:sz w:val="23"/>
                <w:szCs w:val="23"/>
              </w:rPr>
              <w:t>longer term planning and capital investments that deal with GHG emissions should be included as part of the utilities’ existing asset/capital planning process</w:t>
            </w:r>
          </w:p>
          <w:p w:rsidR="0044180F" w:rsidRDefault="00A30A1B" w:rsidP="00B72380">
            <w:pPr>
              <w:pStyle w:val="ListParagraph"/>
              <w:numPr>
                <w:ilvl w:val="0"/>
                <w:numId w:val="12"/>
              </w:numPr>
              <w:ind w:left="252" w:hanging="180"/>
              <w:rPr>
                <w:sz w:val="23"/>
                <w:szCs w:val="23"/>
              </w:rPr>
            </w:pPr>
            <w:r w:rsidRPr="00B72380">
              <w:rPr>
                <w:sz w:val="23"/>
                <w:szCs w:val="23"/>
              </w:rPr>
              <w:t xml:space="preserve">Concerns raised about confidentiality of </w:t>
            </w:r>
            <w:r w:rsidR="00FF4FB6">
              <w:rPr>
                <w:sz w:val="23"/>
                <w:szCs w:val="23"/>
              </w:rPr>
              <w:t>certain</w:t>
            </w:r>
            <w:r w:rsidRPr="00B72380">
              <w:rPr>
                <w:sz w:val="23"/>
                <w:szCs w:val="23"/>
              </w:rPr>
              <w:t xml:space="preserve"> information in Compliance Plans</w:t>
            </w:r>
          </w:p>
          <w:p w:rsidR="00B72380" w:rsidRDefault="001C1B5E" w:rsidP="0061521A">
            <w:pPr>
              <w:pStyle w:val="ListParagraph"/>
              <w:numPr>
                <w:ilvl w:val="0"/>
                <w:numId w:val="12"/>
              </w:numPr>
              <w:ind w:left="252" w:hanging="1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Agreement that there should be no</w:t>
            </w:r>
            <w:r w:rsidR="00F24554" w:rsidRPr="00F24554">
              <w:rPr>
                <w:sz w:val="23"/>
                <w:szCs w:val="23"/>
              </w:rPr>
              <w:t xml:space="preserve"> double counting with respect to customer abatement programs under cap and trade and the OEB’s existing multi-year DSM Framework </w:t>
            </w:r>
          </w:p>
          <w:p w:rsidR="0061521A" w:rsidRPr="0061521A" w:rsidRDefault="0061521A" w:rsidP="0061521A">
            <w:pPr>
              <w:ind w:left="72"/>
              <w:rPr>
                <w:sz w:val="23"/>
                <w:szCs w:val="23"/>
              </w:rPr>
            </w:pPr>
          </w:p>
        </w:tc>
      </w:tr>
      <w:tr w:rsidR="0044180F" w:rsidRPr="00B72380" w:rsidTr="00E300C0">
        <w:tc>
          <w:tcPr>
            <w:tcW w:w="1560" w:type="dxa"/>
          </w:tcPr>
          <w:p w:rsidR="0044180F" w:rsidRPr="00B72380" w:rsidRDefault="00AF58E6" w:rsidP="00E300C0">
            <w:pPr>
              <w:rPr>
                <w:b/>
                <w:sz w:val="23"/>
                <w:szCs w:val="23"/>
              </w:rPr>
            </w:pPr>
            <w:r w:rsidRPr="00B72380">
              <w:rPr>
                <w:b/>
                <w:sz w:val="23"/>
                <w:szCs w:val="23"/>
              </w:rPr>
              <w:t>Forecast</w:t>
            </w:r>
            <w:r w:rsidR="00E300C0">
              <w:rPr>
                <w:b/>
                <w:sz w:val="23"/>
                <w:szCs w:val="23"/>
              </w:rPr>
              <w:t>s</w:t>
            </w:r>
          </w:p>
        </w:tc>
        <w:tc>
          <w:tcPr>
            <w:tcW w:w="7908" w:type="dxa"/>
          </w:tcPr>
          <w:p w:rsidR="0044180F" w:rsidRPr="00B72380" w:rsidRDefault="00A87B0C" w:rsidP="00A87B0C">
            <w:pPr>
              <w:pStyle w:val="ListParagraph"/>
              <w:numPr>
                <w:ilvl w:val="0"/>
                <w:numId w:val="12"/>
              </w:numPr>
              <w:ind w:left="252" w:hanging="180"/>
              <w:rPr>
                <w:sz w:val="23"/>
                <w:szCs w:val="23"/>
              </w:rPr>
            </w:pPr>
            <w:r w:rsidRPr="00B72380">
              <w:rPr>
                <w:sz w:val="23"/>
                <w:szCs w:val="23"/>
              </w:rPr>
              <w:t>General agreement with consistent carbon</w:t>
            </w:r>
            <w:r w:rsidR="001C1B5E">
              <w:rPr>
                <w:sz w:val="23"/>
                <w:szCs w:val="23"/>
              </w:rPr>
              <w:t xml:space="preserve"> price</w:t>
            </w:r>
            <w:r w:rsidRPr="00B72380">
              <w:rPr>
                <w:sz w:val="23"/>
                <w:szCs w:val="23"/>
              </w:rPr>
              <w:t xml:space="preserve"> forecast across utilities</w:t>
            </w:r>
            <w:r w:rsidR="001C1B5E">
              <w:rPr>
                <w:sz w:val="23"/>
                <w:szCs w:val="23"/>
              </w:rPr>
              <w:t xml:space="preserve"> </w:t>
            </w:r>
          </w:p>
          <w:p w:rsidR="00FF4FB6" w:rsidRDefault="00FF4FB6" w:rsidP="00A87B0C">
            <w:pPr>
              <w:pStyle w:val="ListParagraph"/>
              <w:numPr>
                <w:ilvl w:val="0"/>
                <w:numId w:val="12"/>
              </w:numPr>
              <w:ind w:left="252" w:hanging="1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2017 will be the f</w:t>
            </w:r>
            <w:r w:rsidR="00A87B0C" w:rsidRPr="00B72380">
              <w:rPr>
                <w:sz w:val="23"/>
                <w:szCs w:val="23"/>
              </w:rPr>
              <w:t xml:space="preserve">irst year </w:t>
            </w:r>
            <w:r>
              <w:rPr>
                <w:sz w:val="23"/>
                <w:szCs w:val="23"/>
              </w:rPr>
              <w:t xml:space="preserve">that </w:t>
            </w:r>
            <w:r w:rsidR="00A87B0C" w:rsidRPr="00B72380">
              <w:rPr>
                <w:sz w:val="23"/>
                <w:szCs w:val="23"/>
              </w:rPr>
              <w:t xml:space="preserve">utilities have </w:t>
            </w:r>
            <w:r w:rsidR="00511D18">
              <w:rPr>
                <w:sz w:val="23"/>
                <w:szCs w:val="23"/>
              </w:rPr>
              <w:t xml:space="preserve">to </w:t>
            </w:r>
            <w:r w:rsidR="00A87B0C" w:rsidRPr="00B72380">
              <w:rPr>
                <w:sz w:val="23"/>
                <w:szCs w:val="23"/>
              </w:rPr>
              <w:t xml:space="preserve">report </w:t>
            </w:r>
            <w:r w:rsidR="001C1B5E">
              <w:rPr>
                <w:sz w:val="23"/>
                <w:szCs w:val="23"/>
              </w:rPr>
              <w:t>their</w:t>
            </w:r>
            <w:r w:rsidR="00511D18">
              <w:rPr>
                <w:sz w:val="23"/>
                <w:szCs w:val="23"/>
              </w:rPr>
              <w:t xml:space="preserve"> customers’ </w:t>
            </w:r>
            <w:r w:rsidR="00A87B0C" w:rsidRPr="00B72380">
              <w:rPr>
                <w:sz w:val="23"/>
                <w:szCs w:val="23"/>
              </w:rPr>
              <w:t xml:space="preserve">GHG emissions </w:t>
            </w:r>
          </w:p>
          <w:p w:rsidR="00A87B0C" w:rsidRPr="00B72380" w:rsidRDefault="00FF4FB6" w:rsidP="00A87B0C">
            <w:pPr>
              <w:pStyle w:val="ListParagraph"/>
              <w:numPr>
                <w:ilvl w:val="0"/>
                <w:numId w:val="12"/>
              </w:numPr>
              <w:ind w:left="252" w:hanging="1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For load forecasting, utilities </w:t>
            </w:r>
            <w:r w:rsidR="00A87B0C" w:rsidRPr="00B72380">
              <w:rPr>
                <w:sz w:val="23"/>
                <w:szCs w:val="23"/>
              </w:rPr>
              <w:t>use single year forecasts, then escalate based on typical customer additions</w:t>
            </w:r>
          </w:p>
          <w:p w:rsidR="00A87B0C" w:rsidRPr="00B72380" w:rsidRDefault="00A30A1B" w:rsidP="00A87B0C">
            <w:pPr>
              <w:pStyle w:val="ListParagraph"/>
              <w:numPr>
                <w:ilvl w:val="0"/>
                <w:numId w:val="12"/>
              </w:numPr>
              <w:ind w:left="252" w:hanging="180"/>
              <w:rPr>
                <w:sz w:val="23"/>
                <w:szCs w:val="23"/>
              </w:rPr>
            </w:pPr>
            <w:r w:rsidRPr="00B72380">
              <w:rPr>
                <w:sz w:val="23"/>
                <w:szCs w:val="23"/>
              </w:rPr>
              <w:t>May be d</w:t>
            </w:r>
            <w:r w:rsidR="00A87B0C" w:rsidRPr="00B72380">
              <w:rPr>
                <w:sz w:val="23"/>
                <w:szCs w:val="23"/>
              </w:rPr>
              <w:t xml:space="preserve">ifficult to get accurate picture if </w:t>
            </w:r>
            <w:r w:rsidR="00170D82">
              <w:rPr>
                <w:sz w:val="23"/>
                <w:szCs w:val="23"/>
              </w:rPr>
              <w:t>large users</w:t>
            </w:r>
            <w:r w:rsidR="00A87B0C" w:rsidRPr="00B72380">
              <w:rPr>
                <w:sz w:val="23"/>
                <w:szCs w:val="23"/>
              </w:rPr>
              <w:t xml:space="preserve"> are opting-in</w:t>
            </w:r>
            <w:r w:rsidR="001C1B5E">
              <w:rPr>
                <w:sz w:val="23"/>
                <w:szCs w:val="23"/>
              </w:rPr>
              <w:t xml:space="preserve"> to the </w:t>
            </w:r>
            <w:r w:rsidR="003B4A4F">
              <w:rPr>
                <w:sz w:val="23"/>
                <w:szCs w:val="23"/>
              </w:rPr>
              <w:t>C</w:t>
            </w:r>
            <w:r w:rsidR="001C1B5E">
              <w:rPr>
                <w:sz w:val="23"/>
                <w:szCs w:val="23"/>
              </w:rPr>
              <w:t xml:space="preserve">ap and </w:t>
            </w:r>
            <w:r w:rsidR="003B4A4F">
              <w:rPr>
                <w:sz w:val="23"/>
                <w:szCs w:val="23"/>
              </w:rPr>
              <w:t>T</w:t>
            </w:r>
            <w:r w:rsidR="001C1B5E">
              <w:rPr>
                <w:sz w:val="23"/>
                <w:szCs w:val="23"/>
              </w:rPr>
              <w:t>rade program</w:t>
            </w:r>
            <w:r w:rsidR="00170D82">
              <w:rPr>
                <w:sz w:val="23"/>
                <w:szCs w:val="23"/>
              </w:rPr>
              <w:t xml:space="preserve"> during the compliance period</w:t>
            </w:r>
          </w:p>
          <w:p w:rsidR="00A87B0C" w:rsidRPr="00B72380" w:rsidRDefault="00A87B0C" w:rsidP="00A87B0C">
            <w:pPr>
              <w:ind w:left="72"/>
              <w:rPr>
                <w:sz w:val="23"/>
                <w:szCs w:val="23"/>
              </w:rPr>
            </w:pPr>
          </w:p>
        </w:tc>
      </w:tr>
      <w:tr w:rsidR="001C3379" w:rsidRPr="00B72380" w:rsidTr="00E300C0">
        <w:tc>
          <w:tcPr>
            <w:tcW w:w="1560" w:type="dxa"/>
          </w:tcPr>
          <w:p w:rsidR="001C3379" w:rsidRPr="00B72380" w:rsidRDefault="001C3379" w:rsidP="00AF58E6">
            <w:pPr>
              <w:rPr>
                <w:b/>
                <w:sz w:val="23"/>
                <w:szCs w:val="23"/>
              </w:rPr>
            </w:pPr>
            <w:r w:rsidRPr="00B72380">
              <w:rPr>
                <w:b/>
                <w:sz w:val="23"/>
                <w:szCs w:val="23"/>
              </w:rPr>
              <w:t xml:space="preserve">Cost </w:t>
            </w:r>
            <w:r w:rsidR="00A87B0C" w:rsidRPr="00B72380">
              <w:rPr>
                <w:b/>
                <w:sz w:val="23"/>
                <w:szCs w:val="23"/>
              </w:rPr>
              <w:t>Allocation and Rate Design</w:t>
            </w:r>
          </w:p>
        </w:tc>
        <w:tc>
          <w:tcPr>
            <w:tcW w:w="7908" w:type="dxa"/>
          </w:tcPr>
          <w:p w:rsidR="001C3379" w:rsidRPr="00B72380" w:rsidRDefault="00A87B0C" w:rsidP="00D42053">
            <w:pPr>
              <w:pStyle w:val="ListParagraph"/>
              <w:numPr>
                <w:ilvl w:val="0"/>
                <w:numId w:val="12"/>
              </w:numPr>
              <w:ind w:left="252" w:hanging="180"/>
              <w:rPr>
                <w:sz w:val="23"/>
                <w:szCs w:val="23"/>
              </w:rPr>
            </w:pPr>
            <w:r w:rsidRPr="00B72380">
              <w:rPr>
                <w:sz w:val="23"/>
                <w:szCs w:val="23"/>
              </w:rPr>
              <w:t>General agreement with cost allocation and rate design option</w:t>
            </w:r>
            <w:r w:rsidR="00511D18">
              <w:rPr>
                <w:sz w:val="23"/>
                <w:szCs w:val="23"/>
              </w:rPr>
              <w:t>s</w:t>
            </w:r>
          </w:p>
          <w:p w:rsidR="00E300C0" w:rsidRDefault="00A30A1B" w:rsidP="00A30A1B">
            <w:pPr>
              <w:pStyle w:val="ListParagraph"/>
              <w:numPr>
                <w:ilvl w:val="0"/>
                <w:numId w:val="12"/>
              </w:numPr>
              <w:ind w:left="252" w:hanging="180"/>
              <w:rPr>
                <w:sz w:val="23"/>
                <w:szCs w:val="23"/>
              </w:rPr>
            </w:pPr>
            <w:r w:rsidRPr="00B72380">
              <w:rPr>
                <w:sz w:val="23"/>
                <w:szCs w:val="23"/>
              </w:rPr>
              <w:t>General agreement that all customers should pay for facility-related costs as it is a cost of doing business</w:t>
            </w:r>
          </w:p>
          <w:p w:rsidR="00A87B0C" w:rsidRPr="00B72380" w:rsidRDefault="00E300C0" w:rsidP="00A30A1B">
            <w:pPr>
              <w:pStyle w:val="ListParagraph"/>
              <w:numPr>
                <w:ilvl w:val="0"/>
                <w:numId w:val="12"/>
              </w:numPr>
              <w:ind w:left="252" w:hanging="1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Variety of </w:t>
            </w:r>
            <w:r w:rsidR="00A87B0C" w:rsidRPr="00B72380">
              <w:rPr>
                <w:sz w:val="23"/>
                <w:szCs w:val="23"/>
              </w:rPr>
              <w:t xml:space="preserve">opinions on </w:t>
            </w:r>
            <w:r w:rsidR="00A30A1B" w:rsidRPr="00B72380">
              <w:rPr>
                <w:sz w:val="23"/>
                <w:szCs w:val="23"/>
              </w:rPr>
              <w:t xml:space="preserve">who </w:t>
            </w:r>
            <w:r w:rsidR="00A87B0C" w:rsidRPr="00B72380">
              <w:rPr>
                <w:sz w:val="23"/>
                <w:szCs w:val="23"/>
              </w:rPr>
              <w:t xml:space="preserve">should </w:t>
            </w:r>
            <w:r w:rsidR="00E27641">
              <w:rPr>
                <w:sz w:val="23"/>
                <w:szCs w:val="23"/>
              </w:rPr>
              <w:t xml:space="preserve">pay for </w:t>
            </w:r>
            <w:r w:rsidR="00A87B0C" w:rsidRPr="00B72380">
              <w:rPr>
                <w:sz w:val="23"/>
                <w:szCs w:val="23"/>
              </w:rPr>
              <w:t>administrative costs</w:t>
            </w:r>
            <w:r>
              <w:rPr>
                <w:sz w:val="23"/>
                <w:szCs w:val="23"/>
              </w:rPr>
              <w:t xml:space="preserve">.  Some stakeholders indicated that these costs should be recovered by all customers; others argued that some of these costs should not be borne Large Final Emitters and voluntary participants </w:t>
            </w:r>
          </w:p>
          <w:p w:rsidR="00A30A1B" w:rsidRPr="00B72380" w:rsidRDefault="00A30A1B" w:rsidP="00A30A1B">
            <w:pPr>
              <w:pStyle w:val="ListParagraph"/>
              <w:numPr>
                <w:ilvl w:val="0"/>
                <w:numId w:val="12"/>
              </w:numPr>
              <w:ind w:left="252" w:hanging="180"/>
              <w:rPr>
                <w:sz w:val="23"/>
                <w:szCs w:val="23"/>
              </w:rPr>
            </w:pPr>
            <w:r w:rsidRPr="00B72380">
              <w:rPr>
                <w:sz w:val="23"/>
                <w:szCs w:val="23"/>
              </w:rPr>
              <w:t>Many stakeholders preferred a quarterly rate similar to QRAM</w:t>
            </w:r>
          </w:p>
          <w:p w:rsidR="00A30A1B" w:rsidRPr="00B72380" w:rsidRDefault="00A30A1B" w:rsidP="0061521A">
            <w:pPr>
              <w:pStyle w:val="ListParagraph"/>
              <w:numPr>
                <w:ilvl w:val="0"/>
                <w:numId w:val="12"/>
              </w:numPr>
              <w:ind w:left="252" w:hanging="180"/>
              <w:rPr>
                <w:sz w:val="23"/>
                <w:szCs w:val="23"/>
              </w:rPr>
            </w:pPr>
            <w:r w:rsidRPr="00B72380">
              <w:rPr>
                <w:sz w:val="23"/>
                <w:szCs w:val="23"/>
              </w:rPr>
              <w:t>Most stakeholders preferred cap and trade costs shown as a single line item on bill</w:t>
            </w:r>
            <w:r w:rsidR="00FF4FB6">
              <w:rPr>
                <w:sz w:val="23"/>
                <w:szCs w:val="23"/>
              </w:rPr>
              <w:t xml:space="preserve">; environmental groups suggested </w:t>
            </w:r>
            <w:r w:rsidR="0061521A" w:rsidRPr="0061521A">
              <w:rPr>
                <w:sz w:val="23"/>
                <w:szCs w:val="23"/>
              </w:rPr>
              <w:t xml:space="preserve">gas bill be simplified to </w:t>
            </w:r>
            <w:r w:rsidR="0061521A" w:rsidRPr="0061521A">
              <w:rPr>
                <w:sz w:val="23"/>
                <w:szCs w:val="23"/>
              </w:rPr>
              <w:lastRenderedPageBreak/>
              <w:t xml:space="preserve">include a fixed charge and variable charge, and these costs be </w:t>
            </w:r>
            <w:r w:rsidR="0061521A">
              <w:rPr>
                <w:sz w:val="23"/>
                <w:szCs w:val="23"/>
              </w:rPr>
              <w:t>included in variable charge</w:t>
            </w:r>
            <w:r w:rsidR="0061521A" w:rsidRPr="0061521A">
              <w:rPr>
                <w:sz w:val="23"/>
                <w:szCs w:val="23"/>
              </w:rPr>
              <w:t xml:space="preserve">  </w:t>
            </w:r>
            <w:r w:rsidRPr="00B72380">
              <w:rPr>
                <w:sz w:val="23"/>
                <w:szCs w:val="23"/>
              </w:rPr>
              <w:t xml:space="preserve"> </w:t>
            </w:r>
          </w:p>
          <w:p w:rsidR="00A30A1B" w:rsidRPr="00B72380" w:rsidRDefault="00A30A1B" w:rsidP="00A30A1B">
            <w:pPr>
              <w:ind w:left="72"/>
              <w:rPr>
                <w:sz w:val="23"/>
                <w:szCs w:val="23"/>
              </w:rPr>
            </w:pPr>
          </w:p>
        </w:tc>
      </w:tr>
      <w:tr w:rsidR="00A30A1B" w:rsidRPr="00B72380" w:rsidTr="00E300C0">
        <w:tc>
          <w:tcPr>
            <w:tcW w:w="1560" w:type="dxa"/>
          </w:tcPr>
          <w:p w:rsidR="00A30A1B" w:rsidRPr="00B72380" w:rsidRDefault="00A30A1B" w:rsidP="00AF58E6">
            <w:pPr>
              <w:rPr>
                <w:b/>
                <w:sz w:val="23"/>
                <w:szCs w:val="23"/>
              </w:rPr>
            </w:pPr>
            <w:r w:rsidRPr="00B72380">
              <w:rPr>
                <w:b/>
                <w:sz w:val="23"/>
                <w:szCs w:val="23"/>
              </w:rPr>
              <w:lastRenderedPageBreak/>
              <w:t>Monitoring</w:t>
            </w:r>
          </w:p>
        </w:tc>
        <w:tc>
          <w:tcPr>
            <w:tcW w:w="7908" w:type="dxa"/>
          </w:tcPr>
          <w:p w:rsidR="00A30A1B" w:rsidRPr="00B72380" w:rsidRDefault="00A30A1B" w:rsidP="00D42053">
            <w:pPr>
              <w:pStyle w:val="ListParagraph"/>
              <w:numPr>
                <w:ilvl w:val="0"/>
                <w:numId w:val="12"/>
              </w:numPr>
              <w:ind w:left="252" w:hanging="180"/>
              <w:rPr>
                <w:sz w:val="23"/>
                <w:szCs w:val="23"/>
              </w:rPr>
            </w:pPr>
            <w:r w:rsidRPr="00B72380">
              <w:rPr>
                <w:sz w:val="23"/>
                <w:szCs w:val="23"/>
              </w:rPr>
              <w:t xml:space="preserve">General agreement with </w:t>
            </w:r>
            <w:r w:rsidR="00E300C0">
              <w:rPr>
                <w:sz w:val="23"/>
                <w:szCs w:val="23"/>
              </w:rPr>
              <w:t xml:space="preserve">on-going monitoring and the utilities filing </w:t>
            </w:r>
            <w:r w:rsidRPr="00B72380">
              <w:rPr>
                <w:sz w:val="23"/>
                <w:szCs w:val="23"/>
              </w:rPr>
              <w:t>annual monitoring reports</w:t>
            </w:r>
          </w:p>
          <w:p w:rsidR="00A30A1B" w:rsidRPr="00B72380" w:rsidRDefault="00A30A1B" w:rsidP="00A30A1B">
            <w:pPr>
              <w:pStyle w:val="ListParagraph"/>
              <w:numPr>
                <w:ilvl w:val="0"/>
                <w:numId w:val="12"/>
              </w:numPr>
              <w:ind w:left="252" w:hanging="180"/>
              <w:rPr>
                <w:sz w:val="23"/>
                <w:szCs w:val="23"/>
              </w:rPr>
            </w:pPr>
            <w:r w:rsidRPr="00B72380">
              <w:rPr>
                <w:sz w:val="23"/>
                <w:szCs w:val="23"/>
              </w:rPr>
              <w:t xml:space="preserve">Concerns raised about confidentiality of </w:t>
            </w:r>
            <w:r w:rsidR="00FF4FB6">
              <w:rPr>
                <w:sz w:val="23"/>
                <w:szCs w:val="23"/>
              </w:rPr>
              <w:t xml:space="preserve">certain </w:t>
            </w:r>
            <w:r w:rsidRPr="00B72380">
              <w:rPr>
                <w:sz w:val="23"/>
                <w:szCs w:val="23"/>
              </w:rPr>
              <w:t xml:space="preserve">information in </w:t>
            </w:r>
            <w:r w:rsidR="00E300C0">
              <w:rPr>
                <w:sz w:val="23"/>
                <w:szCs w:val="23"/>
              </w:rPr>
              <w:t xml:space="preserve">monitoring </w:t>
            </w:r>
            <w:r w:rsidR="00FF4FB6">
              <w:rPr>
                <w:sz w:val="23"/>
                <w:szCs w:val="23"/>
              </w:rPr>
              <w:t>r</w:t>
            </w:r>
            <w:r w:rsidRPr="00B72380">
              <w:rPr>
                <w:sz w:val="23"/>
                <w:szCs w:val="23"/>
              </w:rPr>
              <w:t>eports</w:t>
            </w:r>
          </w:p>
          <w:p w:rsidR="00A30A1B" w:rsidRPr="00B72380" w:rsidRDefault="00A30A1B" w:rsidP="00A30A1B">
            <w:pPr>
              <w:ind w:left="72"/>
              <w:rPr>
                <w:sz w:val="23"/>
                <w:szCs w:val="23"/>
              </w:rPr>
            </w:pPr>
          </w:p>
        </w:tc>
      </w:tr>
      <w:tr w:rsidR="001C3379" w:rsidRPr="00B72380" w:rsidTr="00E300C0">
        <w:tc>
          <w:tcPr>
            <w:tcW w:w="1560" w:type="dxa"/>
          </w:tcPr>
          <w:p w:rsidR="001C3379" w:rsidRPr="00B72380" w:rsidRDefault="001C3379" w:rsidP="00AF58E6">
            <w:pPr>
              <w:rPr>
                <w:b/>
                <w:sz w:val="23"/>
                <w:szCs w:val="23"/>
              </w:rPr>
            </w:pPr>
          </w:p>
          <w:p w:rsidR="001C3379" w:rsidRPr="00B72380" w:rsidRDefault="001C3379" w:rsidP="00AF58E6">
            <w:pPr>
              <w:rPr>
                <w:b/>
                <w:sz w:val="23"/>
                <w:szCs w:val="23"/>
              </w:rPr>
            </w:pPr>
            <w:r w:rsidRPr="00B72380">
              <w:rPr>
                <w:b/>
                <w:sz w:val="23"/>
                <w:szCs w:val="23"/>
              </w:rPr>
              <w:t>Customer Outreach</w:t>
            </w:r>
          </w:p>
          <w:p w:rsidR="001C3379" w:rsidRPr="00B72380" w:rsidRDefault="001C3379" w:rsidP="00AF58E6">
            <w:pPr>
              <w:rPr>
                <w:b/>
                <w:sz w:val="23"/>
                <w:szCs w:val="23"/>
              </w:rPr>
            </w:pPr>
          </w:p>
        </w:tc>
        <w:tc>
          <w:tcPr>
            <w:tcW w:w="7908" w:type="dxa"/>
          </w:tcPr>
          <w:p w:rsidR="001C3379" w:rsidRPr="00B72380" w:rsidRDefault="001C3379" w:rsidP="00A87B0C">
            <w:pPr>
              <w:pStyle w:val="ListParagraph"/>
              <w:numPr>
                <w:ilvl w:val="0"/>
                <w:numId w:val="12"/>
              </w:numPr>
              <w:ind w:left="252" w:hanging="180"/>
              <w:rPr>
                <w:sz w:val="23"/>
                <w:szCs w:val="23"/>
              </w:rPr>
            </w:pPr>
            <w:r w:rsidRPr="00B72380">
              <w:rPr>
                <w:sz w:val="23"/>
                <w:szCs w:val="23"/>
              </w:rPr>
              <w:t xml:space="preserve">Utilities recognize they play a big role in communicating public on these issues </w:t>
            </w:r>
          </w:p>
          <w:p w:rsidR="001C3379" w:rsidRPr="00B72380" w:rsidRDefault="001C3379" w:rsidP="00A87B0C">
            <w:pPr>
              <w:pStyle w:val="ListParagraph"/>
              <w:numPr>
                <w:ilvl w:val="0"/>
                <w:numId w:val="12"/>
              </w:numPr>
              <w:ind w:left="252" w:hanging="180"/>
              <w:rPr>
                <w:sz w:val="23"/>
                <w:szCs w:val="23"/>
              </w:rPr>
            </w:pPr>
            <w:r w:rsidRPr="00B72380">
              <w:rPr>
                <w:sz w:val="23"/>
                <w:szCs w:val="23"/>
              </w:rPr>
              <w:t xml:space="preserve">Consistent messaging between utilities and OEB </w:t>
            </w:r>
            <w:r w:rsidR="00AE14D1">
              <w:rPr>
                <w:sz w:val="23"/>
                <w:szCs w:val="23"/>
              </w:rPr>
              <w:t xml:space="preserve">is </w:t>
            </w:r>
            <w:r w:rsidRPr="00B72380">
              <w:rPr>
                <w:sz w:val="23"/>
                <w:szCs w:val="23"/>
              </w:rPr>
              <w:t xml:space="preserve">needed </w:t>
            </w:r>
          </w:p>
          <w:p w:rsidR="00B72380" w:rsidRDefault="001C3379" w:rsidP="0061521A">
            <w:pPr>
              <w:pStyle w:val="ListParagraph"/>
              <w:numPr>
                <w:ilvl w:val="0"/>
                <w:numId w:val="12"/>
              </w:numPr>
              <w:ind w:left="252" w:hanging="180"/>
              <w:rPr>
                <w:sz w:val="23"/>
                <w:szCs w:val="23"/>
              </w:rPr>
            </w:pPr>
            <w:r w:rsidRPr="00B72380">
              <w:rPr>
                <w:sz w:val="23"/>
                <w:szCs w:val="23"/>
              </w:rPr>
              <w:t>Communications should start in advance of bill for costs</w:t>
            </w:r>
          </w:p>
          <w:p w:rsidR="0061521A" w:rsidRPr="0061521A" w:rsidRDefault="0061521A" w:rsidP="0061521A">
            <w:pPr>
              <w:ind w:left="72"/>
              <w:rPr>
                <w:sz w:val="23"/>
                <w:szCs w:val="23"/>
              </w:rPr>
            </w:pPr>
          </w:p>
        </w:tc>
      </w:tr>
    </w:tbl>
    <w:p w:rsidR="002655BF" w:rsidRPr="00142F24" w:rsidRDefault="002655BF" w:rsidP="0061521A">
      <w:pPr>
        <w:pStyle w:val="Heading2"/>
        <w:rPr>
          <w:szCs w:val="20"/>
        </w:rPr>
      </w:pPr>
    </w:p>
    <w:sectPr w:rsidR="002655BF" w:rsidRPr="00142F24" w:rsidSect="00E300C0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3A0" w:rsidRDefault="000663A0" w:rsidP="001A1CBA">
      <w:pPr>
        <w:spacing w:after="0" w:line="240" w:lineRule="auto"/>
      </w:pPr>
      <w:r>
        <w:separator/>
      </w:r>
    </w:p>
  </w:endnote>
  <w:endnote w:type="continuationSeparator" w:id="0">
    <w:p w:rsidR="000663A0" w:rsidRDefault="000663A0" w:rsidP="001A1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275515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B45D6" w:rsidRDefault="00BB45D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F28F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F28F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B45D6" w:rsidRDefault="00BB45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3A0" w:rsidRDefault="000663A0" w:rsidP="001A1CBA">
      <w:pPr>
        <w:spacing w:after="0" w:line="240" w:lineRule="auto"/>
      </w:pPr>
      <w:r>
        <w:separator/>
      </w:r>
    </w:p>
  </w:footnote>
  <w:footnote w:type="continuationSeparator" w:id="0">
    <w:p w:rsidR="000663A0" w:rsidRDefault="000663A0" w:rsidP="001A1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="Arial"/>
        <w:b/>
        <w:sz w:val="28"/>
        <w:szCs w:val="20"/>
      </w:rPr>
      <w:alias w:val="Title"/>
      <w:id w:val="77738743"/>
      <w:placeholder>
        <w:docPart w:val="49974329839C40D48C9401723AF9006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A1CBA" w:rsidRDefault="00F3371D">
        <w:pPr>
          <w:pStyle w:val="Header"/>
          <w:pBdr>
            <w:bottom w:val="thickThinSmallGap" w:sz="24" w:space="1" w:color="496A00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eastAsia="Arial"/>
            <w:b/>
            <w:sz w:val="28"/>
            <w:szCs w:val="20"/>
            <w:lang w:val="en-CA"/>
          </w:rPr>
          <w:t xml:space="preserve">OEB Cap &amp; Trade Preliminary Meetings </w:t>
        </w:r>
        <w:r w:rsidR="00102096">
          <w:rPr>
            <w:rFonts w:eastAsia="Arial"/>
            <w:b/>
            <w:sz w:val="28"/>
            <w:szCs w:val="20"/>
            <w:lang w:val="en-CA"/>
          </w:rPr>
          <w:t>–</w:t>
        </w:r>
        <w:r>
          <w:rPr>
            <w:rFonts w:eastAsia="Arial"/>
            <w:b/>
            <w:sz w:val="28"/>
            <w:szCs w:val="20"/>
            <w:lang w:val="en-CA"/>
          </w:rPr>
          <w:t xml:space="preserve"> </w:t>
        </w:r>
        <w:r w:rsidR="00102096">
          <w:rPr>
            <w:rFonts w:eastAsia="Arial"/>
            <w:b/>
            <w:sz w:val="28"/>
            <w:szCs w:val="20"/>
            <w:lang w:val="en-CA"/>
          </w:rPr>
          <w:t xml:space="preserve">Staff’s </w:t>
        </w:r>
        <w:r>
          <w:rPr>
            <w:rFonts w:eastAsia="Arial"/>
            <w:b/>
            <w:sz w:val="28"/>
            <w:szCs w:val="20"/>
            <w:lang w:val="en-CA"/>
          </w:rPr>
          <w:t>Summary Notes</w:t>
        </w:r>
      </w:p>
    </w:sdtContent>
  </w:sdt>
  <w:p w:rsidR="001A1CBA" w:rsidRDefault="001A1C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40DA9"/>
    <w:multiLevelType w:val="hybridMultilevel"/>
    <w:tmpl w:val="6B74D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93E64"/>
    <w:multiLevelType w:val="hybridMultilevel"/>
    <w:tmpl w:val="8E12E68A"/>
    <w:lvl w:ilvl="0" w:tplc="6A3CE9B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BD6D17"/>
    <w:multiLevelType w:val="hybridMultilevel"/>
    <w:tmpl w:val="CFDE1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30ECE"/>
    <w:multiLevelType w:val="hybridMultilevel"/>
    <w:tmpl w:val="592077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757DE0"/>
    <w:multiLevelType w:val="hybridMultilevel"/>
    <w:tmpl w:val="B54E1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9F0090"/>
    <w:multiLevelType w:val="hybridMultilevel"/>
    <w:tmpl w:val="AB6C0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7C6557"/>
    <w:multiLevelType w:val="hybridMultilevel"/>
    <w:tmpl w:val="01E65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F1BA6"/>
    <w:multiLevelType w:val="hybridMultilevel"/>
    <w:tmpl w:val="8CE23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074438"/>
    <w:multiLevelType w:val="hybridMultilevel"/>
    <w:tmpl w:val="942AA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AA7617"/>
    <w:multiLevelType w:val="hybridMultilevel"/>
    <w:tmpl w:val="393C2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5555D1"/>
    <w:multiLevelType w:val="hybridMultilevel"/>
    <w:tmpl w:val="2018B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E24B4F"/>
    <w:multiLevelType w:val="hybridMultilevel"/>
    <w:tmpl w:val="C06C9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427DDF"/>
    <w:multiLevelType w:val="hybridMultilevel"/>
    <w:tmpl w:val="63400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2F3F41"/>
    <w:multiLevelType w:val="hybridMultilevel"/>
    <w:tmpl w:val="48323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F00270"/>
    <w:multiLevelType w:val="hybridMultilevel"/>
    <w:tmpl w:val="E2F44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CE48E5"/>
    <w:multiLevelType w:val="hybridMultilevel"/>
    <w:tmpl w:val="78108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5861F8"/>
    <w:multiLevelType w:val="hybridMultilevel"/>
    <w:tmpl w:val="10DAF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925D1"/>
    <w:multiLevelType w:val="hybridMultilevel"/>
    <w:tmpl w:val="9C8AC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816CA7"/>
    <w:multiLevelType w:val="hybridMultilevel"/>
    <w:tmpl w:val="16BEF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DA4B4B"/>
    <w:multiLevelType w:val="hybridMultilevel"/>
    <w:tmpl w:val="10DAF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291C3E"/>
    <w:multiLevelType w:val="hybridMultilevel"/>
    <w:tmpl w:val="9E84C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A82C31"/>
    <w:multiLevelType w:val="hybridMultilevel"/>
    <w:tmpl w:val="3162EA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D96661"/>
    <w:multiLevelType w:val="hybridMultilevel"/>
    <w:tmpl w:val="32E84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602EE5"/>
    <w:multiLevelType w:val="hybridMultilevel"/>
    <w:tmpl w:val="898C67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753C4C"/>
    <w:multiLevelType w:val="hybridMultilevel"/>
    <w:tmpl w:val="D826A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CE4CC8"/>
    <w:multiLevelType w:val="hybridMultilevel"/>
    <w:tmpl w:val="10DAF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3A5663"/>
    <w:multiLevelType w:val="hybridMultilevel"/>
    <w:tmpl w:val="BDFC1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3518D0"/>
    <w:multiLevelType w:val="hybridMultilevel"/>
    <w:tmpl w:val="219CD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F17B39"/>
    <w:multiLevelType w:val="hybridMultilevel"/>
    <w:tmpl w:val="CDDCE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C819B3"/>
    <w:multiLevelType w:val="hybridMultilevel"/>
    <w:tmpl w:val="39305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9641B4"/>
    <w:multiLevelType w:val="hybridMultilevel"/>
    <w:tmpl w:val="585AD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C95C6F"/>
    <w:multiLevelType w:val="hybridMultilevel"/>
    <w:tmpl w:val="C074DC0C"/>
    <w:lvl w:ilvl="0" w:tplc="10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32">
    <w:nsid w:val="5FD833DA"/>
    <w:multiLevelType w:val="hybridMultilevel"/>
    <w:tmpl w:val="E82EB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64289A"/>
    <w:multiLevelType w:val="hybridMultilevel"/>
    <w:tmpl w:val="16C28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3624B0"/>
    <w:multiLevelType w:val="hybridMultilevel"/>
    <w:tmpl w:val="897E1386"/>
    <w:lvl w:ilvl="0" w:tplc="10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5">
    <w:nsid w:val="6BCF3060"/>
    <w:multiLevelType w:val="hybridMultilevel"/>
    <w:tmpl w:val="E5302152"/>
    <w:lvl w:ilvl="0" w:tplc="89480068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456A21"/>
    <w:multiLevelType w:val="hybridMultilevel"/>
    <w:tmpl w:val="493CD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3F42C3"/>
    <w:multiLevelType w:val="hybridMultilevel"/>
    <w:tmpl w:val="FE72F1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A0574C"/>
    <w:multiLevelType w:val="hybridMultilevel"/>
    <w:tmpl w:val="9080F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3B1F85"/>
    <w:multiLevelType w:val="hybridMultilevel"/>
    <w:tmpl w:val="6980E9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E457AE"/>
    <w:multiLevelType w:val="hybridMultilevel"/>
    <w:tmpl w:val="D37A7A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0E763C"/>
    <w:multiLevelType w:val="hybridMultilevel"/>
    <w:tmpl w:val="6B60D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CC5FFA"/>
    <w:multiLevelType w:val="hybridMultilevel"/>
    <w:tmpl w:val="10DAF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847129"/>
    <w:multiLevelType w:val="hybridMultilevel"/>
    <w:tmpl w:val="10B0B1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A97C81"/>
    <w:multiLevelType w:val="hybridMultilevel"/>
    <w:tmpl w:val="48DA5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B761CB"/>
    <w:multiLevelType w:val="hybridMultilevel"/>
    <w:tmpl w:val="C8142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5"/>
  </w:num>
  <w:num w:numId="3">
    <w:abstractNumId w:val="33"/>
  </w:num>
  <w:num w:numId="4">
    <w:abstractNumId w:val="10"/>
  </w:num>
  <w:num w:numId="5">
    <w:abstractNumId w:val="42"/>
  </w:num>
  <w:num w:numId="6">
    <w:abstractNumId w:val="16"/>
  </w:num>
  <w:num w:numId="7">
    <w:abstractNumId w:val="17"/>
  </w:num>
  <w:num w:numId="8">
    <w:abstractNumId w:val="9"/>
  </w:num>
  <w:num w:numId="9">
    <w:abstractNumId w:val="1"/>
  </w:num>
  <w:num w:numId="10">
    <w:abstractNumId w:val="28"/>
  </w:num>
  <w:num w:numId="11">
    <w:abstractNumId w:val="18"/>
  </w:num>
  <w:num w:numId="12">
    <w:abstractNumId w:val="34"/>
  </w:num>
  <w:num w:numId="13">
    <w:abstractNumId w:val="21"/>
  </w:num>
  <w:num w:numId="14">
    <w:abstractNumId w:val="39"/>
  </w:num>
  <w:num w:numId="15">
    <w:abstractNumId w:val="3"/>
  </w:num>
  <w:num w:numId="16">
    <w:abstractNumId w:val="40"/>
  </w:num>
  <w:num w:numId="17">
    <w:abstractNumId w:val="37"/>
  </w:num>
  <w:num w:numId="18">
    <w:abstractNumId w:val="43"/>
  </w:num>
  <w:num w:numId="19">
    <w:abstractNumId w:val="23"/>
  </w:num>
  <w:num w:numId="20">
    <w:abstractNumId w:val="19"/>
  </w:num>
  <w:num w:numId="21">
    <w:abstractNumId w:val="24"/>
  </w:num>
  <w:num w:numId="22">
    <w:abstractNumId w:val="29"/>
  </w:num>
  <w:num w:numId="23">
    <w:abstractNumId w:val="14"/>
  </w:num>
  <w:num w:numId="24">
    <w:abstractNumId w:val="12"/>
  </w:num>
  <w:num w:numId="25">
    <w:abstractNumId w:val="0"/>
  </w:num>
  <w:num w:numId="26">
    <w:abstractNumId w:val="22"/>
  </w:num>
  <w:num w:numId="27">
    <w:abstractNumId w:val="32"/>
  </w:num>
  <w:num w:numId="28">
    <w:abstractNumId w:val="38"/>
  </w:num>
  <w:num w:numId="29">
    <w:abstractNumId w:val="30"/>
  </w:num>
  <w:num w:numId="30">
    <w:abstractNumId w:val="20"/>
  </w:num>
  <w:num w:numId="31">
    <w:abstractNumId w:val="6"/>
  </w:num>
  <w:num w:numId="32">
    <w:abstractNumId w:val="15"/>
  </w:num>
  <w:num w:numId="33">
    <w:abstractNumId w:val="27"/>
  </w:num>
  <w:num w:numId="34">
    <w:abstractNumId w:val="5"/>
  </w:num>
  <w:num w:numId="35">
    <w:abstractNumId w:val="13"/>
  </w:num>
  <w:num w:numId="36">
    <w:abstractNumId w:val="45"/>
  </w:num>
  <w:num w:numId="37">
    <w:abstractNumId w:val="2"/>
  </w:num>
  <w:num w:numId="38">
    <w:abstractNumId w:val="11"/>
  </w:num>
  <w:num w:numId="39">
    <w:abstractNumId w:val="36"/>
  </w:num>
  <w:num w:numId="40">
    <w:abstractNumId w:val="41"/>
  </w:num>
  <w:num w:numId="41">
    <w:abstractNumId w:val="4"/>
  </w:num>
  <w:num w:numId="42">
    <w:abstractNumId w:val="8"/>
  </w:num>
  <w:num w:numId="43">
    <w:abstractNumId w:val="7"/>
  </w:num>
  <w:num w:numId="44">
    <w:abstractNumId w:val="44"/>
  </w:num>
  <w:num w:numId="45">
    <w:abstractNumId w:val="26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944"/>
    <w:rsid w:val="000003CD"/>
    <w:rsid w:val="00002FCA"/>
    <w:rsid w:val="00054510"/>
    <w:rsid w:val="000663A0"/>
    <w:rsid w:val="000C521A"/>
    <w:rsid w:val="000F264E"/>
    <w:rsid w:val="00102096"/>
    <w:rsid w:val="00140243"/>
    <w:rsid w:val="00142F24"/>
    <w:rsid w:val="001434A0"/>
    <w:rsid w:val="001568AF"/>
    <w:rsid w:val="00162380"/>
    <w:rsid w:val="00170D82"/>
    <w:rsid w:val="001A1CBA"/>
    <w:rsid w:val="001C1B5E"/>
    <w:rsid w:val="001C3379"/>
    <w:rsid w:val="002655BF"/>
    <w:rsid w:val="00283237"/>
    <w:rsid w:val="0038044D"/>
    <w:rsid w:val="003B3D91"/>
    <w:rsid w:val="003B4A4F"/>
    <w:rsid w:val="003E47FF"/>
    <w:rsid w:val="00403438"/>
    <w:rsid w:val="0044180F"/>
    <w:rsid w:val="00460788"/>
    <w:rsid w:val="004A43E7"/>
    <w:rsid w:val="00511D18"/>
    <w:rsid w:val="0051277E"/>
    <w:rsid w:val="005315C8"/>
    <w:rsid w:val="00557944"/>
    <w:rsid w:val="0061521A"/>
    <w:rsid w:val="00633685"/>
    <w:rsid w:val="00647861"/>
    <w:rsid w:val="006E565C"/>
    <w:rsid w:val="00733DC2"/>
    <w:rsid w:val="007407EC"/>
    <w:rsid w:val="00764E59"/>
    <w:rsid w:val="0077311F"/>
    <w:rsid w:val="00785BF5"/>
    <w:rsid w:val="007E64F3"/>
    <w:rsid w:val="00814B9B"/>
    <w:rsid w:val="00832DC2"/>
    <w:rsid w:val="00864017"/>
    <w:rsid w:val="008C4DDB"/>
    <w:rsid w:val="008F28FD"/>
    <w:rsid w:val="00903D2C"/>
    <w:rsid w:val="00920A48"/>
    <w:rsid w:val="00935B35"/>
    <w:rsid w:val="00940676"/>
    <w:rsid w:val="009B40AD"/>
    <w:rsid w:val="009D6F06"/>
    <w:rsid w:val="009F0938"/>
    <w:rsid w:val="00A02BA1"/>
    <w:rsid w:val="00A265F8"/>
    <w:rsid w:val="00A30A1B"/>
    <w:rsid w:val="00A860DA"/>
    <w:rsid w:val="00A87B0C"/>
    <w:rsid w:val="00AA6F0E"/>
    <w:rsid w:val="00AD1D7B"/>
    <w:rsid w:val="00AE14D1"/>
    <w:rsid w:val="00AE6978"/>
    <w:rsid w:val="00AF58E6"/>
    <w:rsid w:val="00B437CC"/>
    <w:rsid w:val="00B454FB"/>
    <w:rsid w:val="00B72380"/>
    <w:rsid w:val="00BB45D6"/>
    <w:rsid w:val="00C80EA6"/>
    <w:rsid w:val="00D24ED3"/>
    <w:rsid w:val="00D42053"/>
    <w:rsid w:val="00D52453"/>
    <w:rsid w:val="00D607C9"/>
    <w:rsid w:val="00D7768C"/>
    <w:rsid w:val="00DC25E6"/>
    <w:rsid w:val="00E27641"/>
    <w:rsid w:val="00E300C0"/>
    <w:rsid w:val="00ED7B50"/>
    <w:rsid w:val="00F21E09"/>
    <w:rsid w:val="00F24554"/>
    <w:rsid w:val="00F32667"/>
    <w:rsid w:val="00F3371D"/>
    <w:rsid w:val="00FA16D6"/>
    <w:rsid w:val="00FB767C"/>
    <w:rsid w:val="00FC6538"/>
    <w:rsid w:val="00FE47D5"/>
    <w:rsid w:val="00FE58AE"/>
    <w:rsid w:val="00FF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Cs w:val="40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3CD"/>
  </w:style>
  <w:style w:type="paragraph" w:styleId="Heading1">
    <w:name w:val="heading 1"/>
    <w:basedOn w:val="Normal"/>
    <w:next w:val="Normal"/>
    <w:link w:val="Heading1Char"/>
    <w:uiPriority w:val="9"/>
    <w:qFormat/>
    <w:rsid w:val="000003CD"/>
    <w:pPr>
      <w:keepNext/>
      <w:keepLines/>
      <w:spacing w:before="240" w:after="0"/>
      <w:outlineLvl w:val="0"/>
    </w:pPr>
    <w:rPr>
      <w:rFonts w:eastAsiaTheme="majorEastAsia" w:cstheme="majorBidi"/>
      <w:color w:val="3F4042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47FF"/>
    <w:pPr>
      <w:keepNext/>
      <w:keepLines/>
      <w:spacing w:before="120" w:after="0"/>
      <w:outlineLvl w:val="1"/>
    </w:pPr>
    <w:rPr>
      <w:rFonts w:eastAsiaTheme="majorEastAsia" w:cstheme="majorBidi"/>
      <w:color w:val="3F4042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03CD"/>
    <w:pPr>
      <w:keepNext/>
      <w:keepLines/>
      <w:spacing w:before="40" w:after="0"/>
      <w:outlineLvl w:val="2"/>
    </w:pPr>
    <w:rPr>
      <w:rFonts w:eastAsiaTheme="majorEastAsia" w:cstheme="majorBidi"/>
      <w:color w:val="2A2B2C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03CD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3E47FF"/>
    <w:rPr>
      <w:rFonts w:eastAsiaTheme="majorEastAsia" w:cstheme="majorBidi"/>
      <w:color w:val="3F4042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003CD"/>
    <w:rPr>
      <w:rFonts w:ascii="Arial" w:eastAsiaTheme="majorEastAsia" w:hAnsi="Arial" w:cstheme="majorBidi"/>
      <w:color w:val="2A2B2C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003CD"/>
    <w:rPr>
      <w:rFonts w:ascii="Arial" w:eastAsiaTheme="majorEastAsia" w:hAnsi="Arial" w:cstheme="majorBidi"/>
      <w:color w:val="3F4042" w:themeColor="accent1" w:themeShade="BF"/>
      <w:sz w:val="32"/>
      <w:szCs w:val="32"/>
    </w:rPr>
  </w:style>
  <w:style w:type="character" w:styleId="SubtleReference">
    <w:name w:val="Subtle Reference"/>
    <w:basedOn w:val="DefaultParagraphFont"/>
    <w:uiPriority w:val="31"/>
    <w:qFormat/>
    <w:rsid w:val="000003CD"/>
    <w:rPr>
      <w:smallCaps/>
      <w:color w:val="8F9294" w:themeColor="text1" w:themeTint="A5"/>
    </w:rPr>
  </w:style>
  <w:style w:type="paragraph" w:styleId="Title">
    <w:name w:val="Title"/>
    <w:basedOn w:val="Normal"/>
    <w:next w:val="Normal"/>
    <w:link w:val="TitleChar"/>
    <w:uiPriority w:val="10"/>
    <w:qFormat/>
    <w:rsid w:val="000003C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03C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03CD"/>
    <w:pPr>
      <w:numPr>
        <w:ilvl w:val="1"/>
      </w:numPr>
    </w:pPr>
    <w:rPr>
      <w:rFonts w:asciiTheme="minorHAnsi" w:eastAsiaTheme="minorEastAsia" w:hAnsiTheme="minorHAnsi" w:cstheme="minorBidi"/>
      <w:color w:val="8F9294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003CD"/>
    <w:rPr>
      <w:rFonts w:eastAsiaTheme="minorEastAsia"/>
      <w:color w:val="8F9294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0003CD"/>
    <w:rPr>
      <w:i/>
      <w:iCs/>
      <w:color w:val="7E8084" w:themeColor="text1" w:themeTint="BF"/>
    </w:rPr>
  </w:style>
  <w:style w:type="character" w:styleId="Emphasis">
    <w:name w:val="Emphasis"/>
    <w:basedOn w:val="DefaultParagraphFont"/>
    <w:uiPriority w:val="20"/>
    <w:qFormat/>
    <w:rsid w:val="000003CD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0003CD"/>
    <w:rPr>
      <w:i/>
      <w:iCs/>
      <w:color w:val="555759" w:themeColor="accent1"/>
    </w:rPr>
  </w:style>
  <w:style w:type="character" w:styleId="Strong">
    <w:name w:val="Strong"/>
    <w:basedOn w:val="DefaultParagraphFont"/>
    <w:uiPriority w:val="22"/>
    <w:qFormat/>
    <w:rsid w:val="000003CD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0003CD"/>
    <w:pPr>
      <w:spacing w:before="200"/>
      <w:ind w:left="864" w:right="864"/>
      <w:jc w:val="center"/>
    </w:pPr>
    <w:rPr>
      <w:i/>
      <w:iCs/>
      <w:color w:val="7E8084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03CD"/>
    <w:rPr>
      <w:rFonts w:ascii="Arial" w:hAnsi="Arial" w:cs="Arial"/>
      <w:i/>
      <w:iCs/>
      <w:color w:val="7E8084" w:themeColor="text1" w:themeTint="BF"/>
      <w:sz w:val="20"/>
      <w:szCs w:val="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03CD"/>
    <w:pPr>
      <w:pBdr>
        <w:top w:val="single" w:sz="4" w:space="10" w:color="555759" w:themeColor="accent1"/>
        <w:bottom w:val="single" w:sz="4" w:space="10" w:color="555759" w:themeColor="accent1"/>
      </w:pBdr>
      <w:spacing w:before="360" w:after="360"/>
      <w:ind w:left="864" w:right="864"/>
      <w:jc w:val="center"/>
    </w:pPr>
    <w:rPr>
      <w:i/>
      <w:iCs/>
      <w:color w:val="55575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03CD"/>
    <w:rPr>
      <w:rFonts w:ascii="Arial" w:hAnsi="Arial" w:cs="Arial"/>
      <w:i/>
      <w:iCs/>
      <w:color w:val="555759" w:themeColor="accent1"/>
      <w:sz w:val="20"/>
      <w:szCs w:val="40"/>
    </w:rPr>
  </w:style>
  <w:style w:type="character" w:styleId="IntenseReference">
    <w:name w:val="Intense Reference"/>
    <w:basedOn w:val="DefaultParagraphFont"/>
    <w:uiPriority w:val="32"/>
    <w:qFormat/>
    <w:rsid w:val="000003CD"/>
    <w:rPr>
      <w:b/>
      <w:bCs/>
      <w:smallCaps/>
      <w:color w:val="555759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0003CD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0003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03CD"/>
    <w:rPr>
      <w:color w:val="85D20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03CD"/>
    <w:rPr>
      <w:color w:val="648C1A" w:themeColor="followedHyperlink"/>
      <w:u w:val="single"/>
    </w:rPr>
  </w:style>
  <w:style w:type="table" w:styleId="TableGrid">
    <w:name w:val="Table Grid"/>
    <w:basedOn w:val="TableNormal"/>
    <w:uiPriority w:val="39"/>
    <w:rsid w:val="00441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5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8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1C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CBA"/>
  </w:style>
  <w:style w:type="paragraph" w:styleId="Footer">
    <w:name w:val="footer"/>
    <w:basedOn w:val="Normal"/>
    <w:link w:val="FooterChar"/>
    <w:uiPriority w:val="99"/>
    <w:unhideWhenUsed/>
    <w:rsid w:val="001A1C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C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Cs w:val="40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3CD"/>
  </w:style>
  <w:style w:type="paragraph" w:styleId="Heading1">
    <w:name w:val="heading 1"/>
    <w:basedOn w:val="Normal"/>
    <w:next w:val="Normal"/>
    <w:link w:val="Heading1Char"/>
    <w:uiPriority w:val="9"/>
    <w:qFormat/>
    <w:rsid w:val="000003CD"/>
    <w:pPr>
      <w:keepNext/>
      <w:keepLines/>
      <w:spacing w:before="240" w:after="0"/>
      <w:outlineLvl w:val="0"/>
    </w:pPr>
    <w:rPr>
      <w:rFonts w:eastAsiaTheme="majorEastAsia" w:cstheme="majorBidi"/>
      <w:color w:val="3F4042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47FF"/>
    <w:pPr>
      <w:keepNext/>
      <w:keepLines/>
      <w:spacing w:before="120" w:after="0"/>
      <w:outlineLvl w:val="1"/>
    </w:pPr>
    <w:rPr>
      <w:rFonts w:eastAsiaTheme="majorEastAsia" w:cstheme="majorBidi"/>
      <w:color w:val="3F4042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03CD"/>
    <w:pPr>
      <w:keepNext/>
      <w:keepLines/>
      <w:spacing w:before="40" w:after="0"/>
      <w:outlineLvl w:val="2"/>
    </w:pPr>
    <w:rPr>
      <w:rFonts w:eastAsiaTheme="majorEastAsia" w:cstheme="majorBidi"/>
      <w:color w:val="2A2B2C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03CD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3E47FF"/>
    <w:rPr>
      <w:rFonts w:eastAsiaTheme="majorEastAsia" w:cstheme="majorBidi"/>
      <w:color w:val="3F4042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003CD"/>
    <w:rPr>
      <w:rFonts w:ascii="Arial" w:eastAsiaTheme="majorEastAsia" w:hAnsi="Arial" w:cstheme="majorBidi"/>
      <w:color w:val="2A2B2C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003CD"/>
    <w:rPr>
      <w:rFonts w:ascii="Arial" w:eastAsiaTheme="majorEastAsia" w:hAnsi="Arial" w:cstheme="majorBidi"/>
      <w:color w:val="3F4042" w:themeColor="accent1" w:themeShade="BF"/>
      <w:sz w:val="32"/>
      <w:szCs w:val="32"/>
    </w:rPr>
  </w:style>
  <w:style w:type="character" w:styleId="SubtleReference">
    <w:name w:val="Subtle Reference"/>
    <w:basedOn w:val="DefaultParagraphFont"/>
    <w:uiPriority w:val="31"/>
    <w:qFormat/>
    <w:rsid w:val="000003CD"/>
    <w:rPr>
      <w:smallCaps/>
      <w:color w:val="8F9294" w:themeColor="text1" w:themeTint="A5"/>
    </w:rPr>
  </w:style>
  <w:style w:type="paragraph" w:styleId="Title">
    <w:name w:val="Title"/>
    <w:basedOn w:val="Normal"/>
    <w:next w:val="Normal"/>
    <w:link w:val="TitleChar"/>
    <w:uiPriority w:val="10"/>
    <w:qFormat/>
    <w:rsid w:val="000003C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03C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03CD"/>
    <w:pPr>
      <w:numPr>
        <w:ilvl w:val="1"/>
      </w:numPr>
    </w:pPr>
    <w:rPr>
      <w:rFonts w:asciiTheme="minorHAnsi" w:eastAsiaTheme="minorEastAsia" w:hAnsiTheme="minorHAnsi" w:cstheme="minorBidi"/>
      <w:color w:val="8F9294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003CD"/>
    <w:rPr>
      <w:rFonts w:eastAsiaTheme="minorEastAsia"/>
      <w:color w:val="8F9294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0003CD"/>
    <w:rPr>
      <w:i/>
      <w:iCs/>
      <w:color w:val="7E8084" w:themeColor="text1" w:themeTint="BF"/>
    </w:rPr>
  </w:style>
  <w:style w:type="character" w:styleId="Emphasis">
    <w:name w:val="Emphasis"/>
    <w:basedOn w:val="DefaultParagraphFont"/>
    <w:uiPriority w:val="20"/>
    <w:qFormat/>
    <w:rsid w:val="000003CD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0003CD"/>
    <w:rPr>
      <w:i/>
      <w:iCs/>
      <w:color w:val="555759" w:themeColor="accent1"/>
    </w:rPr>
  </w:style>
  <w:style w:type="character" w:styleId="Strong">
    <w:name w:val="Strong"/>
    <w:basedOn w:val="DefaultParagraphFont"/>
    <w:uiPriority w:val="22"/>
    <w:qFormat/>
    <w:rsid w:val="000003CD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0003CD"/>
    <w:pPr>
      <w:spacing w:before="200"/>
      <w:ind w:left="864" w:right="864"/>
      <w:jc w:val="center"/>
    </w:pPr>
    <w:rPr>
      <w:i/>
      <w:iCs/>
      <w:color w:val="7E8084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03CD"/>
    <w:rPr>
      <w:rFonts w:ascii="Arial" w:hAnsi="Arial" w:cs="Arial"/>
      <w:i/>
      <w:iCs/>
      <w:color w:val="7E8084" w:themeColor="text1" w:themeTint="BF"/>
      <w:sz w:val="20"/>
      <w:szCs w:val="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03CD"/>
    <w:pPr>
      <w:pBdr>
        <w:top w:val="single" w:sz="4" w:space="10" w:color="555759" w:themeColor="accent1"/>
        <w:bottom w:val="single" w:sz="4" w:space="10" w:color="555759" w:themeColor="accent1"/>
      </w:pBdr>
      <w:spacing w:before="360" w:after="360"/>
      <w:ind w:left="864" w:right="864"/>
      <w:jc w:val="center"/>
    </w:pPr>
    <w:rPr>
      <w:i/>
      <w:iCs/>
      <w:color w:val="55575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03CD"/>
    <w:rPr>
      <w:rFonts w:ascii="Arial" w:hAnsi="Arial" w:cs="Arial"/>
      <w:i/>
      <w:iCs/>
      <w:color w:val="555759" w:themeColor="accent1"/>
      <w:sz w:val="20"/>
      <w:szCs w:val="40"/>
    </w:rPr>
  </w:style>
  <w:style w:type="character" w:styleId="IntenseReference">
    <w:name w:val="Intense Reference"/>
    <w:basedOn w:val="DefaultParagraphFont"/>
    <w:uiPriority w:val="32"/>
    <w:qFormat/>
    <w:rsid w:val="000003CD"/>
    <w:rPr>
      <w:b/>
      <w:bCs/>
      <w:smallCaps/>
      <w:color w:val="555759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0003CD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0003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03CD"/>
    <w:rPr>
      <w:color w:val="85D20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03CD"/>
    <w:rPr>
      <w:color w:val="648C1A" w:themeColor="followedHyperlink"/>
      <w:u w:val="single"/>
    </w:rPr>
  </w:style>
  <w:style w:type="table" w:styleId="TableGrid">
    <w:name w:val="Table Grid"/>
    <w:basedOn w:val="TableNormal"/>
    <w:uiPriority w:val="39"/>
    <w:rsid w:val="00441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5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8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1C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CBA"/>
  </w:style>
  <w:style w:type="paragraph" w:styleId="Footer">
    <w:name w:val="footer"/>
    <w:basedOn w:val="Normal"/>
    <w:link w:val="FooterChar"/>
    <w:uiPriority w:val="99"/>
    <w:unhideWhenUsed/>
    <w:rsid w:val="001A1C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7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ontarioenergyboard.ca/oeb/Industry/Regulatory%20Proceedings/Policy%20Initiatives%20and%20Consultations/Cap%20and%20Trade%20Compliance%20Plans%20%28EB-2015-0363%29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9974329839C40D48C9401723AF90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9CD68-1BF4-4042-B97D-C62FC8028610}"/>
      </w:docPartPr>
      <w:docPartBody>
        <w:p w:rsidR="001926BC" w:rsidRDefault="0021127A" w:rsidP="0021127A">
          <w:pPr>
            <w:pStyle w:val="49974329839C40D48C9401723AF9006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27A"/>
    <w:rsid w:val="001926BC"/>
    <w:rsid w:val="0021127A"/>
    <w:rsid w:val="00817C53"/>
    <w:rsid w:val="00AB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9974329839C40D48C9401723AF90064">
    <w:name w:val="49974329839C40D48C9401723AF90064"/>
    <w:rsid w:val="0021127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9974329839C40D48C9401723AF90064">
    <w:name w:val="49974329839C40D48C9401723AF90064"/>
    <w:rsid w:val="002112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5">
      <a:dk1>
        <a:srgbClr val="555759"/>
      </a:dk1>
      <a:lt1>
        <a:sysClr val="window" lastClr="FFFFFF"/>
      </a:lt1>
      <a:dk2>
        <a:srgbClr val="555759"/>
      </a:dk2>
      <a:lt2>
        <a:srgbClr val="FFFFFF"/>
      </a:lt2>
      <a:accent1>
        <a:srgbClr val="555759"/>
      </a:accent1>
      <a:accent2>
        <a:srgbClr val="95D600"/>
      </a:accent2>
      <a:accent3>
        <a:srgbClr val="0093C9"/>
      </a:accent3>
      <a:accent4>
        <a:srgbClr val="FFB718"/>
      </a:accent4>
      <a:accent5>
        <a:srgbClr val="E53C2E"/>
      </a:accent5>
      <a:accent6>
        <a:srgbClr val="8B189B"/>
      </a:accent6>
      <a:hlink>
        <a:srgbClr val="85D206"/>
      </a:hlink>
      <a:folHlink>
        <a:srgbClr val="648C1A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1270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18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Palatino Linotype" pitchFamily="18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1270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18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Palatino Linotype" pitchFamily="18" charset="0"/>
          </a:defRPr>
        </a:defPPr>
      </a:lstStyle>
    </a:lnDef>
  </a:objectDefaults>
  <a:extraClrSchemeLst>
    <a:extraClrScheme>
      <a:clrScheme name="NCI Powerpoint 1">
        <a:dk1>
          <a:srgbClr val="000000"/>
        </a:dk1>
        <a:lt1>
          <a:srgbClr val="FFFFFF"/>
        </a:lt1>
        <a:dk2>
          <a:srgbClr val="6F6754"/>
        </a:dk2>
        <a:lt2>
          <a:srgbClr val="D8D6D2"/>
        </a:lt2>
        <a:accent1>
          <a:srgbClr val="B88740"/>
        </a:accent1>
        <a:accent2>
          <a:srgbClr val="3F4A13"/>
        </a:accent2>
        <a:accent3>
          <a:srgbClr val="FFFFFF"/>
        </a:accent3>
        <a:accent4>
          <a:srgbClr val="000000"/>
        </a:accent4>
        <a:accent5>
          <a:srgbClr val="D8C3AF"/>
        </a:accent5>
        <a:accent6>
          <a:srgbClr val="384210"/>
        </a:accent6>
        <a:hlink>
          <a:srgbClr val="093678"/>
        </a:hlink>
        <a:folHlink>
          <a:srgbClr val="A15F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NCI Powerpoint 2">
        <a:dk1>
          <a:srgbClr val="000000"/>
        </a:dk1>
        <a:lt1>
          <a:srgbClr val="FFFFFF"/>
        </a:lt1>
        <a:dk2>
          <a:srgbClr val="6F6754"/>
        </a:dk2>
        <a:lt2>
          <a:srgbClr val="D8D6D2"/>
        </a:lt2>
        <a:accent1>
          <a:srgbClr val="AB6240"/>
        </a:accent1>
        <a:accent2>
          <a:srgbClr val="3F4A13"/>
        </a:accent2>
        <a:accent3>
          <a:srgbClr val="FFFFFF"/>
        </a:accent3>
        <a:accent4>
          <a:srgbClr val="000000"/>
        </a:accent4>
        <a:accent5>
          <a:srgbClr val="D2B7AF"/>
        </a:accent5>
        <a:accent6>
          <a:srgbClr val="384210"/>
        </a:accent6>
        <a:hlink>
          <a:srgbClr val="093678"/>
        </a:hlink>
        <a:folHlink>
          <a:srgbClr val="8F2E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NCI Powerpoint 3">
        <a:dk1>
          <a:srgbClr val="000000"/>
        </a:dk1>
        <a:lt1>
          <a:srgbClr val="FFFFFF"/>
        </a:lt1>
        <a:dk2>
          <a:srgbClr val="6F6754"/>
        </a:dk2>
        <a:lt2>
          <a:srgbClr val="D8D6D2"/>
        </a:lt2>
        <a:accent1>
          <a:srgbClr val="855576"/>
        </a:accent1>
        <a:accent2>
          <a:srgbClr val="3F4A13"/>
        </a:accent2>
        <a:accent3>
          <a:srgbClr val="FFFFFF"/>
        </a:accent3>
        <a:accent4>
          <a:srgbClr val="000000"/>
        </a:accent4>
        <a:accent5>
          <a:srgbClr val="C2B4BD"/>
        </a:accent5>
        <a:accent6>
          <a:srgbClr val="384210"/>
        </a:accent6>
        <a:hlink>
          <a:srgbClr val="A15F00"/>
        </a:hlink>
        <a:folHlink>
          <a:srgbClr val="5C1C49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NCI Powerpoint 4">
        <a:dk1>
          <a:srgbClr val="000000"/>
        </a:dk1>
        <a:lt1>
          <a:srgbClr val="FFFFFF"/>
        </a:lt1>
        <a:dk2>
          <a:srgbClr val="6F6754"/>
        </a:dk2>
        <a:lt2>
          <a:srgbClr val="D8D6D2"/>
        </a:lt2>
        <a:accent1>
          <a:srgbClr val="46689A"/>
        </a:accent1>
        <a:accent2>
          <a:srgbClr val="5C2801"/>
        </a:accent2>
        <a:accent3>
          <a:srgbClr val="FFFFFF"/>
        </a:accent3>
        <a:accent4>
          <a:srgbClr val="000000"/>
        </a:accent4>
        <a:accent5>
          <a:srgbClr val="B0B9CA"/>
        </a:accent5>
        <a:accent6>
          <a:srgbClr val="532301"/>
        </a:accent6>
        <a:hlink>
          <a:srgbClr val="17524E"/>
        </a:hlink>
        <a:folHlink>
          <a:srgbClr val="093678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NCI Powerpoint 5">
        <a:dk1>
          <a:srgbClr val="000000"/>
        </a:dk1>
        <a:lt1>
          <a:srgbClr val="FFFFFF"/>
        </a:lt1>
        <a:dk2>
          <a:srgbClr val="6F6754"/>
        </a:dk2>
        <a:lt2>
          <a:srgbClr val="D8D6D2"/>
        </a:lt2>
        <a:accent1>
          <a:srgbClr val="517D7A"/>
        </a:accent1>
        <a:accent2>
          <a:srgbClr val="A15F00"/>
        </a:accent2>
        <a:accent3>
          <a:srgbClr val="FFFFFF"/>
        </a:accent3>
        <a:accent4>
          <a:srgbClr val="000000"/>
        </a:accent4>
        <a:accent5>
          <a:srgbClr val="B3BFBE"/>
        </a:accent5>
        <a:accent6>
          <a:srgbClr val="915500"/>
        </a:accent6>
        <a:hlink>
          <a:srgbClr val="5C1C49"/>
        </a:hlink>
        <a:folHlink>
          <a:srgbClr val="17524E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NCI Powerpoint 6">
        <a:dk1>
          <a:srgbClr val="000000"/>
        </a:dk1>
        <a:lt1>
          <a:srgbClr val="FFFFFF"/>
        </a:lt1>
        <a:dk2>
          <a:srgbClr val="6F6754"/>
        </a:dk2>
        <a:lt2>
          <a:srgbClr val="D8D6D2"/>
        </a:lt2>
        <a:accent1>
          <a:srgbClr val="6F774E"/>
        </a:accent1>
        <a:accent2>
          <a:srgbClr val="093678"/>
        </a:accent2>
        <a:accent3>
          <a:srgbClr val="FFFFFF"/>
        </a:accent3>
        <a:accent4>
          <a:srgbClr val="000000"/>
        </a:accent4>
        <a:accent5>
          <a:srgbClr val="BBBDB2"/>
        </a:accent5>
        <a:accent6>
          <a:srgbClr val="07306C"/>
        </a:accent6>
        <a:hlink>
          <a:srgbClr val="8F2E00"/>
        </a:hlink>
        <a:folHlink>
          <a:srgbClr val="3F4A13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NCI Powerpoint 7">
        <a:dk1>
          <a:srgbClr val="000000"/>
        </a:dk1>
        <a:lt1>
          <a:srgbClr val="FFFFFF"/>
        </a:lt1>
        <a:dk2>
          <a:srgbClr val="6F6754"/>
        </a:dk2>
        <a:lt2>
          <a:srgbClr val="D8D6D2"/>
        </a:lt2>
        <a:accent1>
          <a:srgbClr val="855E40"/>
        </a:accent1>
        <a:accent2>
          <a:srgbClr val="17524E"/>
        </a:accent2>
        <a:accent3>
          <a:srgbClr val="FFFFFF"/>
        </a:accent3>
        <a:accent4>
          <a:srgbClr val="000000"/>
        </a:accent4>
        <a:accent5>
          <a:srgbClr val="C2B6AF"/>
        </a:accent5>
        <a:accent6>
          <a:srgbClr val="144946"/>
        </a:accent6>
        <a:hlink>
          <a:srgbClr val="8F2E00"/>
        </a:hlink>
        <a:folHlink>
          <a:srgbClr val="5C2801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extLst>
    <a:ext uri="{05A4C25C-085E-4340-85A3-A5531E510DB2}">
      <thm15:themeFamily xmlns="" xmlns:thm15="http://schemas.microsoft.com/office/thememl/2012/main" name="Theme1" id="{60220666-8FFE-4D6F-A1F2-C68BBFEC4EC8}" vid="{13851271-7BD6-4CA3-AEFF-8D8E5ED1F41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BCE0D-CF3D-4958-BDAF-8E6DEB6F9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OEB Cap &amp; Trade Preliminary Meetings – Staff’s Summary Notes</vt:lpstr>
    </vt:vector>
  </TitlesOfParts>
  <Company>OEB</Company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OEB Cap &amp; Trade Preliminary Meetings – Staff’s Summary Notes</dc:title>
  <dc:creator>Craig Sabine</dc:creator>
  <cp:lastModifiedBy>Laurie Klein</cp:lastModifiedBy>
  <cp:revision>2</cp:revision>
  <cp:lastPrinted>2016-05-18T22:15:00Z</cp:lastPrinted>
  <dcterms:created xsi:type="dcterms:W3CDTF">2016-05-25T16:17:00Z</dcterms:created>
  <dcterms:modified xsi:type="dcterms:W3CDTF">2016-05-25T16:17:00Z</dcterms:modified>
</cp:coreProperties>
</file>