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21D6" w14:textId="725BE1B3" w:rsidR="000F052D" w:rsidRPr="00CF7876" w:rsidRDefault="00761A29" w:rsidP="00CF7876">
      <w:pPr>
        <w:pStyle w:val="Heading1"/>
        <w:spacing w:after="100" w:afterAutospacing="1"/>
        <w:rPr>
          <w:rFonts w:ascii="Cambria" w:eastAsia="Times New Roman" w:hAnsi="Cambria"/>
          <w:b/>
          <w:bCs/>
          <w:color w:val="1F4E79" w:themeColor="accent1" w:themeShade="80"/>
          <w:sz w:val="36"/>
          <w:szCs w:val="36"/>
        </w:rPr>
      </w:pPr>
      <w:r w:rsidRPr="00CF7876">
        <w:rPr>
          <w:rFonts w:ascii="Cambria" w:eastAsia="Times New Roman" w:hAnsi="Cambria"/>
          <w:b/>
          <w:bCs/>
          <w:color w:val="1F4E79" w:themeColor="accent1" w:themeShade="80"/>
          <w:sz w:val="36"/>
          <w:szCs w:val="36"/>
        </w:rPr>
        <w:t xml:space="preserve">Instructions for </w:t>
      </w:r>
      <w:r w:rsidR="003B3FF3">
        <w:rPr>
          <w:rFonts w:ascii="Cambria" w:eastAsia="Times New Roman" w:hAnsi="Cambria"/>
          <w:b/>
          <w:bCs/>
          <w:color w:val="1F4E79" w:themeColor="accent1" w:themeShade="80"/>
          <w:sz w:val="36"/>
          <w:szCs w:val="36"/>
        </w:rPr>
        <w:t>DVA Continuity Schedule</w:t>
      </w:r>
      <w:r w:rsidRPr="00CF7876">
        <w:rPr>
          <w:rFonts w:ascii="Cambria" w:eastAsia="Times New Roman" w:hAnsi="Cambria"/>
          <w:b/>
          <w:bCs/>
          <w:color w:val="1F4E79" w:themeColor="accent1" w:themeShade="80"/>
          <w:sz w:val="36"/>
          <w:szCs w:val="36"/>
        </w:rPr>
        <w:t xml:space="preserve"> – 202</w:t>
      </w:r>
      <w:r w:rsidR="00401BC7">
        <w:rPr>
          <w:rFonts w:ascii="Cambria" w:eastAsia="Times New Roman" w:hAnsi="Cambria"/>
          <w:b/>
          <w:bCs/>
          <w:color w:val="1F4E79" w:themeColor="accent1" w:themeShade="80"/>
          <w:sz w:val="36"/>
          <w:szCs w:val="36"/>
        </w:rPr>
        <w:t>4</w:t>
      </w:r>
      <w:r w:rsidRPr="00CF7876">
        <w:rPr>
          <w:rFonts w:ascii="Cambria" w:eastAsia="Times New Roman" w:hAnsi="Cambria"/>
          <w:b/>
          <w:bCs/>
          <w:color w:val="1F4E79" w:themeColor="accent1" w:themeShade="80"/>
          <w:sz w:val="36"/>
          <w:szCs w:val="36"/>
        </w:rPr>
        <w:t xml:space="preserve"> Rates</w:t>
      </w:r>
    </w:p>
    <w:p w14:paraId="6AC7C744" w14:textId="1F1EFF75" w:rsidR="007438AA" w:rsidRDefault="007438AA" w:rsidP="00CF7876">
      <w:pPr>
        <w:pStyle w:val="Heading2"/>
        <w:spacing w:before="240" w:after="100" w:afterAutospacing="1"/>
        <w:rPr>
          <w:rFonts w:eastAsia="Times New Roman"/>
          <w:sz w:val="24"/>
          <w:szCs w:val="24"/>
        </w:rPr>
      </w:pPr>
      <w:r w:rsidRPr="00CF7876">
        <w:rPr>
          <w:rFonts w:ascii="Cambria" w:eastAsia="Times New Roman" w:hAnsi="Cambria"/>
          <w:b/>
          <w:bCs/>
          <w:sz w:val="32"/>
          <w:szCs w:val="32"/>
        </w:rPr>
        <w:t>Purpose</w:t>
      </w:r>
    </w:p>
    <w:p w14:paraId="20E37B17" w14:textId="33D24AE2" w:rsidR="00160F09" w:rsidRPr="00314ED8" w:rsidRDefault="00190516" w:rsidP="00314ED8">
      <w:pPr>
        <w:spacing w:after="4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support a distributor’s deferral and variance account</w:t>
      </w:r>
      <w:r w:rsidR="00967EEE">
        <w:rPr>
          <w:rFonts w:ascii="Arial" w:eastAsia="Times New Roman" w:hAnsi="Arial" w:cs="Arial"/>
          <w:sz w:val="24"/>
          <w:szCs w:val="24"/>
        </w:rPr>
        <w:t xml:space="preserve"> (DVA) balances, </w:t>
      </w:r>
      <w:r w:rsidR="00056629">
        <w:rPr>
          <w:rFonts w:ascii="Arial" w:eastAsia="Times New Roman" w:hAnsi="Arial" w:cs="Arial"/>
          <w:sz w:val="24"/>
          <w:szCs w:val="24"/>
        </w:rPr>
        <w:t xml:space="preserve">a </w:t>
      </w:r>
      <w:r w:rsidR="00967EEE">
        <w:rPr>
          <w:rFonts w:ascii="Arial" w:eastAsia="Times New Roman" w:hAnsi="Arial" w:cs="Arial"/>
          <w:sz w:val="24"/>
          <w:szCs w:val="24"/>
        </w:rPr>
        <w:t xml:space="preserve">DVA Continuity Schedule </w:t>
      </w:r>
      <w:r w:rsidR="00056629">
        <w:rPr>
          <w:rFonts w:ascii="Arial" w:eastAsia="Times New Roman" w:hAnsi="Arial" w:cs="Arial"/>
          <w:sz w:val="24"/>
          <w:szCs w:val="24"/>
        </w:rPr>
        <w:t xml:space="preserve">in excel format </w:t>
      </w:r>
      <w:r w:rsidR="00967EEE">
        <w:rPr>
          <w:rFonts w:ascii="Arial" w:eastAsia="Times New Roman" w:hAnsi="Arial" w:cs="Arial"/>
          <w:sz w:val="24"/>
          <w:szCs w:val="24"/>
        </w:rPr>
        <w:t>must be filed.</w:t>
      </w:r>
      <w:r w:rsidR="00056629">
        <w:rPr>
          <w:rFonts w:ascii="Arial" w:eastAsia="Times New Roman" w:hAnsi="Arial" w:cs="Arial"/>
          <w:sz w:val="24"/>
          <w:szCs w:val="24"/>
        </w:rPr>
        <w:t xml:space="preserve"> The Continuity Schedule </w:t>
      </w:r>
      <w:r w:rsidR="008159DD">
        <w:rPr>
          <w:rFonts w:ascii="Arial" w:eastAsia="Times New Roman" w:hAnsi="Arial" w:cs="Arial"/>
          <w:sz w:val="24"/>
          <w:szCs w:val="24"/>
        </w:rPr>
        <w:t xml:space="preserve">is </w:t>
      </w:r>
      <w:r w:rsidR="008159DD" w:rsidRPr="008159DD">
        <w:rPr>
          <w:rFonts w:ascii="Arial" w:eastAsia="Times New Roman" w:hAnsi="Arial" w:cs="Arial"/>
          <w:sz w:val="24"/>
          <w:szCs w:val="24"/>
        </w:rPr>
        <w:t xml:space="preserve">for the period from the </w:t>
      </w:r>
      <w:r w:rsidR="0084138D">
        <w:rPr>
          <w:rFonts w:ascii="Arial" w:eastAsia="Times New Roman" w:hAnsi="Arial" w:cs="Arial"/>
          <w:sz w:val="24"/>
          <w:szCs w:val="24"/>
        </w:rPr>
        <w:t xml:space="preserve">year-end </w:t>
      </w:r>
      <w:r w:rsidR="00184A7C">
        <w:rPr>
          <w:rFonts w:ascii="Arial" w:eastAsia="Times New Roman" w:hAnsi="Arial" w:cs="Arial"/>
          <w:sz w:val="24"/>
          <w:szCs w:val="24"/>
        </w:rPr>
        <w:t xml:space="preserve">where balances were </w:t>
      </w:r>
      <w:r w:rsidR="008159DD" w:rsidRPr="008159DD">
        <w:rPr>
          <w:rFonts w:ascii="Arial" w:eastAsia="Times New Roman" w:hAnsi="Arial" w:cs="Arial"/>
          <w:sz w:val="24"/>
          <w:szCs w:val="24"/>
        </w:rPr>
        <w:t>last dispos</w:t>
      </w:r>
      <w:r w:rsidR="00184A7C">
        <w:rPr>
          <w:rFonts w:ascii="Arial" w:eastAsia="Times New Roman" w:hAnsi="Arial" w:cs="Arial"/>
          <w:sz w:val="24"/>
          <w:szCs w:val="24"/>
        </w:rPr>
        <w:t>ed</w:t>
      </w:r>
      <w:r w:rsidR="008159DD" w:rsidRPr="008159DD">
        <w:rPr>
          <w:rFonts w:ascii="Arial" w:eastAsia="Times New Roman" w:hAnsi="Arial" w:cs="Arial"/>
          <w:sz w:val="24"/>
          <w:szCs w:val="24"/>
        </w:rPr>
        <w:t xml:space="preserve"> to the</w:t>
      </w:r>
      <w:r w:rsidR="000F18C7">
        <w:rPr>
          <w:rFonts w:ascii="Arial" w:eastAsia="Times New Roman" w:hAnsi="Arial" w:cs="Arial"/>
          <w:sz w:val="24"/>
          <w:szCs w:val="24"/>
        </w:rPr>
        <w:t xml:space="preserve"> most recent year</w:t>
      </w:r>
      <w:r w:rsidR="008F44A3">
        <w:rPr>
          <w:rFonts w:ascii="Arial" w:eastAsia="Times New Roman" w:hAnsi="Arial" w:cs="Arial"/>
          <w:sz w:val="24"/>
          <w:szCs w:val="24"/>
        </w:rPr>
        <w:t>-</w:t>
      </w:r>
      <w:r w:rsidR="000F18C7">
        <w:rPr>
          <w:rFonts w:ascii="Arial" w:eastAsia="Times New Roman" w:hAnsi="Arial" w:cs="Arial"/>
          <w:sz w:val="24"/>
          <w:szCs w:val="24"/>
        </w:rPr>
        <w:t>end</w:t>
      </w:r>
      <w:r w:rsidR="008159DD" w:rsidRPr="008159DD">
        <w:rPr>
          <w:rFonts w:ascii="Arial" w:eastAsia="Times New Roman" w:hAnsi="Arial" w:cs="Arial"/>
          <w:sz w:val="24"/>
          <w:szCs w:val="24"/>
        </w:rPr>
        <w:t>, showing separate itemization of opening balances, annual adjustments, transactions, dispositions, interest and closing balances for all active DVAs</w:t>
      </w:r>
      <w:r w:rsidR="00F52EBF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C1DA79A" w14:textId="27CBC9F0" w:rsidR="00BB66AD" w:rsidRPr="00754FE1" w:rsidRDefault="00BB66AD" w:rsidP="00CD062D">
      <w:pPr>
        <w:pStyle w:val="Heading2"/>
        <w:spacing w:before="240" w:after="100" w:afterAutospacing="1"/>
        <w:rPr>
          <w:rFonts w:ascii="Cambria" w:eastAsia="Times New Roman" w:hAnsi="Cambria"/>
          <w:b/>
          <w:bCs/>
          <w:sz w:val="32"/>
          <w:szCs w:val="32"/>
        </w:rPr>
      </w:pPr>
      <w:r>
        <w:rPr>
          <w:rFonts w:ascii="Cambria" w:eastAsia="Times New Roman" w:hAnsi="Cambria"/>
          <w:b/>
          <w:bCs/>
          <w:sz w:val="32"/>
          <w:szCs w:val="32"/>
        </w:rPr>
        <w:t xml:space="preserve">Summary of Changes to </w:t>
      </w:r>
      <w:r w:rsidR="00263BE8">
        <w:rPr>
          <w:rFonts w:ascii="Cambria" w:eastAsia="Times New Roman" w:hAnsi="Cambria"/>
          <w:b/>
          <w:bCs/>
          <w:sz w:val="32"/>
          <w:szCs w:val="32"/>
        </w:rPr>
        <w:t>Continuity Schedule</w:t>
      </w:r>
      <w:r>
        <w:rPr>
          <w:rFonts w:ascii="Cambria" w:eastAsia="Times New Roman" w:hAnsi="Cambria"/>
          <w:b/>
          <w:bCs/>
          <w:sz w:val="32"/>
          <w:szCs w:val="32"/>
        </w:rPr>
        <w:t xml:space="preserve"> from </w:t>
      </w:r>
      <w:r w:rsidR="00401BC7">
        <w:rPr>
          <w:rFonts w:ascii="Cambria" w:eastAsia="Times New Roman" w:hAnsi="Cambria"/>
          <w:b/>
          <w:bCs/>
          <w:sz w:val="32"/>
          <w:szCs w:val="32"/>
        </w:rPr>
        <w:t>the Last Few Years</w:t>
      </w:r>
      <w:r w:rsidRPr="00754FE1">
        <w:rPr>
          <w:rFonts w:ascii="Cambria" w:eastAsia="Times New Roman" w:hAnsi="Cambria"/>
          <w:b/>
          <w:bCs/>
          <w:sz w:val="32"/>
          <w:szCs w:val="32"/>
        </w:rPr>
        <w:t>:</w:t>
      </w:r>
    </w:p>
    <w:p w14:paraId="003F2C5F" w14:textId="5A54D53A" w:rsidR="00401BC7" w:rsidRDefault="00DF4B06" w:rsidP="00D54E3E">
      <w:pPr>
        <w:pStyle w:val="ListParagraph"/>
        <w:numPr>
          <w:ilvl w:val="0"/>
          <w:numId w:val="79"/>
        </w:numPr>
        <w:rPr>
          <w:rFonts w:ascii="Arial" w:eastAsia="Times New Roman" w:hAnsi="Arial" w:cs="Arial"/>
          <w:sz w:val="24"/>
          <w:szCs w:val="24"/>
          <w:lang w:val="en-CA"/>
        </w:rPr>
      </w:pPr>
      <w:r w:rsidRPr="00DF4B06">
        <w:rPr>
          <w:rFonts w:ascii="Arial" w:eastAsia="Times New Roman" w:hAnsi="Arial" w:cs="Arial"/>
          <w:sz w:val="24"/>
          <w:szCs w:val="24"/>
          <w:lang w:val="en-CA"/>
        </w:rPr>
        <w:t xml:space="preserve">Group 2 </w:t>
      </w:r>
      <w:r w:rsidR="000861B3">
        <w:rPr>
          <w:rFonts w:ascii="Arial" w:eastAsia="Times New Roman" w:hAnsi="Arial" w:cs="Arial"/>
          <w:sz w:val="24"/>
          <w:szCs w:val="24"/>
          <w:lang w:val="en-CA"/>
        </w:rPr>
        <w:t>C</w:t>
      </w:r>
      <w:r w:rsidRPr="00DF4B06">
        <w:rPr>
          <w:rFonts w:ascii="Arial" w:eastAsia="Times New Roman" w:hAnsi="Arial" w:cs="Arial"/>
          <w:sz w:val="24"/>
          <w:szCs w:val="24"/>
          <w:lang w:val="en-CA"/>
        </w:rPr>
        <w:t xml:space="preserve">ontinuity </w:t>
      </w:r>
      <w:r w:rsidR="000861B3">
        <w:rPr>
          <w:rFonts w:ascii="Arial" w:eastAsia="Times New Roman" w:hAnsi="Arial" w:cs="Arial"/>
          <w:sz w:val="24"/>
          <w:szCs w:val="24"/>
          <w:lang w:val="en-CA"/>
        </w:rPr>
        <w:t>S</w:t>
      </w:r>
      <w:r w:rsidRPr="00DF4B06">
        <w:rPr>
          <w:rFonts w:ascii="Arial" w:eastAsia="Times New Roman" w:hAnsi="Arial" w:cs="Arial"/>
          <w:sz w:val="24"/>
          <w:szCs w:val="24"/>
          <w:lang w:val="en-CA"/>
        </w:rPr>
        <w:t>chedule</w:t>
      </w:r>
      <w:r w:rsidR="002658CF">
        <w:rPr>
          <w:rFonts w:ascii="Arial" w:eastAsia="Times New Roman" w:hAnsi="Arial" w:cs="Arial"/>
          <w:sz w:val="24"/>
          <w:szCs w:val="24"/>
          <w:lang w:val="en-CA"/>
        </w:rPr>
        <w:t xml:space="preserve"> in</w:t>
      </w:r>
      <w:r w:rsidRPr="00DF4B06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  <w:r w:rsidR="00C50A2B">
        <w:rPr>
          <w:rFonts w:ascii="Arial" w:eastAsia="Times New Roman" w:hAnsi="Arial" w:cs="Arial"/>
          <w:sz w:val="24"/>
          <w:szCs w:val="24"/>
          <w:lang w:val="en-CA"/>
        </w:rPr>
        <w:t>T</w:t>
      </w:r>
      <w:r w:rsidRPr="00DF4B06">
        <w:rPr>
          <w:rFonts w:ascii="Arial" w:eastAsia="Times New Roman" w:hAnsi="Arial" w:cs="Arial"/>
          <w:sz w:val="24"/>
          <w:szCs w:val="24"/>
          <w:lang w:val="en-CA"/>
        </w:rPr>
        <w:t>ab 2b</w:t>
      </w:r>
      <w:r w:rsidR="0012303F">
        <w:rPr>
          <w:rFonts w:ascii="Arial" w:eastAsia="Times New Roman" w:hAnsi="Arial" w:cs="Arial"/>
          <w:sz w:val="24"/>
          <w:szCs w:val="24"/>
          <w:lang w:val="en-CA"/>
        </w:rPr>
        <w:t xml:space="preserve"> has added new sub-accounts under Account 1508: </w:t>
      </w:r>
      <w:r w:rsidRPr="00DF4B06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</w:p>
    <w:p w14:paraId="4D6FF128" w14:textId="1C66529D" w:rsidR="00401BC7" w:rsidRDefault="00401BC7" w:rsidP="00401BC7">
      <w:pPr>
        <w:pStyle w:val="ListParagraph"/>
        <w:numPr>
          <w:ilvl w:val="1"/>
          <w:numId w:val="79"/>
        </w:numPr>
        <w:rPr>
          <w:rFonts w:ascii="Arial" w:eastAsia="Times New Roman" w:hAnsi="Arial" w:cs="Arial"/>
          <w:sz w:val="24"/>
          <w:szCs w:val="24"/>
          <w:lang w:val="en-CA"/>
        </w:rPr>
      </w:pPr>
      <w:r>
        <w:rPr>
          <w:rFonts w:ascii="Arial" w:eastAsia="Times New Roman" w:hAnsi="Arial" w:cs="Arial"/>
          <w:sz w:val="24"/>
          <w:szCs w:val="24"/>
          <w:lang w:val="en-CA"/>
        </w:rPr>
        <w:t xml:space="preserve">Sub-account Customer </w:t>
      </w:r>
      <w:r w:rsidR="0072588C">
        <w:rPr>
          <w:rFonts w:ascii="Arial" w:eastAsia="Times New Roman" w:hAnsi="Arial" w:cs="Arial"/>
          <w:sz w:val="24"/>
          <w:szCs w:val="24"/>
          <w:lang w:val="en-CA"/>
        </w:rPr>
        <w:t>Choice Initiative Cost</w:t>
      </w:r>
      <w:r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</w:p>
    <w:p w14:paraId="472713C8" w14:textId="03850550" w:rsidR="00401BC7" w:rsidRDefault="00DF4B06" w:rsidP="00401BC7">
      <w:pPr>
        <w:pStyle w:val="ListParagraph"/>
        <w:numPr>
          <w:ilvl w:val="1"/>
          <w:numId w:val="79"/>
        </w:numPr>
        <w:rPr>
          <w:rFonts w:ascii="Arial" w:eastAsia="Times New Roman" w:hAnsi="Arial" w:cs="Arial"/>
          <w:sz w:val="24"/>
          <w:szCs w:val="24"/>
          <w:lang w:val="en-CA"/>
        </w:rPr>
      </w:pPr>
      <w:r w:rsidRPr="00DF4B06">
        <w:rPr>
          <w:rFonts w:ascii="Arial" w:eastAsia="Times New Roman" w:hAnsi="Arial" w:cs="Arial"/>
          <w:sz w:val="24"/>
          <w:szCs w:val="24"/>
          <w:lang w:val="en-CA"/>
        </w:rPr>
        <w:t>Sub-account Local Initiatives Program Costs</w:t>
      </w:r>
    </w:p>
    <w:p w14:paraId="2C7AF235" w14:textId="45DCEAC3" w:rsidR="00DF4B06" w:rsidRDefault="00DF4B06" w:rsidP="00401BC7">
      <w:pPr>
        <w:pStyle w:val="ListParagraph"/>
        <w:numPr>
          <w:ilvl w:val="1"/>
          <w:numId w:val="79"/>
        </w:numPr>
        <w:rPr>
          <w:rFonts w:ascii="Arial" w:eastAsia="Times New Roman" w:hAnsi="Arial" w:cs="Arial"/>
          <w:sz w:val="24"/>
          <w:szCs w:val="24"/>
          <w:lang w:val="en-CA"/>
        </w:rPr>
      </w:pPr>
      <w:r w:rsidRPr="00DF4B06">
        <w:rPr>
          <w:rFonts w:ascii="Arial" w:eastAsia="Times New Roman" w:hAnsi="Arial" w:cs="Arial"/>
          <w:sz w:val="24"/>
          <w:szCs w:val="24"/>
          <w:lang w:val="en-CA"/>
        </w:rPr>
        <w:t>Sub-account Green Button Initiative Costs.</w:t>
      </w:r>
    </w:p>
    <w:p w14:paraId="4C9AFD85" w14:textId="72941774" w:rsidR="00401BC7" w:rsidRPr="00EE41B2" w:rsidRDefault="00401BC7" w:rsidP="00CC2EF4">
      <w:pPr>
        <w:pStyle w:val="ListParagraph"/>
        <w:numPr>
          <w:ilvl w:val="1"/>
          <w:numId w:val="79"/>
        </w:numPr>
        <w:rPr>
          <w:rFonts w:ascii="Arial" w:eastAsia="Times New Roman" w:hAnsi="Arial" w:cs="Arial"/>
          <w:sz w:val="24"/>
          <w:szCs w:val="24"/>
          <w:lang w:val="en-CA"/>
        </w:rPr>
      </w:pPr>
      <w:r w:rsidRPr="00EE41B2">
        <w:rPr>
          <w:rFonts w:ascii="Arial" w:eastAsia="Times New Roman" w:hAnsi="Arial" w:cs="Arial"/>
          <w:sz w:val="24"/>
          <w:szCs w:val="24"/>
          <w:lang w:val="en-CA"/>
        </w:rPr>
        <w:t>Sub-account</w:t>
      </w:r>
      <w:r w:rsidR="0072588C" w:rsidRPr="00EE41B2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  <w:r w:rsidR="00EE41B2" w:rsidRPr="00EE41B2">
        <w:rPr>
          <w:rFonts w:ascii="Arial" w:eastAsia="Times New Roman" w:hAnsi="Arial" w:cs="Arial"/>
          <w:sz w:val="24"/>
          <w:szCs w:val="24"/>
          <w:lang w:val="en-CA"/>
        </w:rPr>
        <w:t>Designated Broadband</w:t>
      </w:r>
      <w:r w:rsidR="00EE41B2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  <w:r w:rsidR="00EE41B2" w:rsidRPr="00EE41B2">
        <w:rPr>
          <w:rFonts w:ascii="Arial" w:eastAsia="Times New Roman" w:hAnsi="Arial" w:cs="Arial"/>
          <w:sz w:val="24"/>
          <w:szCs w:val="24"/>
          <w:lang w:val="en-CA"/>
        </w:rPr>
        <w:t>Project Impacts</w:t>
      </w:r>
    </w:p>
    <w:p w14:paraId="2ABC4D2D" w14:textId="43D4C954" w:rsidR="00DF4B06" w:rsidRDefault="00E84224" w:rsidP="00314ED8">
      <w:pPr>
        <w:pStyle w:val="ListParagraph"/>
        <w:numPr>
          <w:ilvl w:val="0"/>
          <w:numId w:val="79"/>
        </w:numPr>
        <w:spacing w:after="400"/>
        <w:rPr>
          <w:rFonts w:ascii="Arial" w:eastAsia="Times New Roman" w:hAnsi="Arial" w:cs="Arial"/>
          <w:sz w:val="24"/>
          <w:szCs w:val="24"/>
          <w:lang w:val="en-CA"/>
        </w:rPr>
      </w:pPr>
      <w:r w:rsidRPr="00DF4B06">
        <w:rPr>
          <w:rFonts w:ascii="Arial" w:eastAsia="Times New Roman" w:hAnsi="Arial" w:cs="Arial"/>
          <w:sz w:val="24"/>
          <w:szCs w:val="24"/>
          <w:lang w:val="en-CA"/>
        </w:rPr>
        <w:t xml:space="preserve">Group 2 </w:t>
      </w:r>
      <w:r w:rsidR="000861B3">
        <w:rPr>
          <w:rFonts w:ascii="Arial" w:eastAsia="Times New Roman" w:hAnsi="Arial" w:cs="Arial"/>
          <w:sz w:val="24"/>
          <w:szCs w:val="24"/>
          <w:lang w:val="en-CA"/>
        </w:rPr>
        <w:t>C</w:t>
      </w:r>
      <w:r w:rsidRPr="00DF4B06">
        <w:rPr>
          <w:rFonts w:ascii="Arial" w:eastAsia="Times New Roman" w:hAnsi="Arial" w:cs="Arial"/>
          <w:sz w:val="24"/>
          <w:szCs w:val="24"/>
          <w:lang w:val="en-CA"/>
        </w:rPr>
        <w:t xml:space="preserve">ontinuity </w:t>
      </w:r>
      <w:r w:rsidR="000861B3">
        <w:rPr>
          <w:rFonts w:ascii="Arial" w:eastAsia="Times New Roman" w:hAnsi="Arial" w:cs="Arial"/>
          <w:sz w:val="24"/>
          <w:szCs w:val="24"/>
          <w:lang w:val="en-CA"/>
        </w:rPr>
        <w:t>S</w:t>
      </w:r>
      <w:r w:rsidRPr="00DF4B06">
        <w:rPr>
          <w:rFonts w:ascii="Arial" w:eastAsia="Times New Roman" w:hAnsi="Arial" w:cs="Arial"/>
          <w:sz w:val="24"/>
          <w:szCs w:val="24"/>
          <w:lang w:val="en-CA"/>
        </w:rPr>
        <w:t xml:space="preserve">chedule </w:t>
      </w:r>
      <w:r w:rsidR="00513446">
        <w:rPr>
          <w:rFonts w:ascii="Arial" w:eastAsia="Times New Roman" w:hAnsi="Arial" w:cs="Arial"/>
          <w:sz w:val="24"/>
          <w:szCs w:val="24"/>
          <w:lang w:val="en-CA"/>
        </w:rPr>
        <w:t xml:space="preserve">in </w:t>
      </w:r>
      <w:r>
        <w:rPr>
          <w:rFonts w:ascii="Arial" w:eastAsia="Times New Roman" w:hAnsi="Arial" w:cs="Arial"/>
          <w:sz w:val="24"/>
          <w:szCs w:val="24"/>
          <w:lang w:val="en-CA"/>
        </w:rPr>
        <w:t>T</w:t>
      </w:r>
      <w:r w:rsidRPr="00DF4B06">
        <w:rPr>
          <w:rFonts w:ascii="Arial" w:eastAsia="Times New Roman" w:hAnsi="Arial" w:cs="Arial"/>
          <w:sz w:val="24"/>
          <w:szCs w:val="24"/>
          <w:lang w:val="en-CA"/>
        </w:rPr>
        <w:t>ab 2b</w:t>
      </w:r>
      <w:r>
        <w:rPr>
          <w:rFonts w:ascii="Arial" w:eastAsia="Times New Roman" w:hAnsi="Arial" w:cs="Arial"/>
          <w:sz w:val="24"/>
          <w:szCs w:val="24"/>
          <w:lang w:val="en-CA"/>
        </w:rPr>
        <w:t xml:space="preserve"> has added </w:t>
      </w:r>
      <w:r w:rsidR="00DF4B06" w:rsidRPr="00DF4B06">
        <w:rPr>
          <w:rFonts w:ascii="Arial" w:eastAsia="Times New Roman" w:hAnsi="Arial" w:cs="Arial"/>
          <w:sz w:val="24"/>
          <w:szCs w:val="24"/>
          <w:lang w:val="en-CA"/>
        </w:rPr>
        <w:t>Account 1509 - Impacts Arising from the COVID-19</w:t>
      </w:r>
      <w:r w:rsidR="009A6AD3">
        <w:rPr>
          <w:rFonts w:ascii="Arial" w:eastAsia="Times New Roman" w:hAnsi="Arial" w:cs="Arial"/>
          <w:sz w:val="24"/>
          <w:szCs w:val="24"/>
          <w:lang w:val="en-CA"/>
        </w:rPr>
        <w:t xml:space="preserve"> </w:t>
      </w:r>
      <w:r w:rsidR="00DF4B06" w:rsidRPr="00DF4B06">
        <w:rPr>
          <w:rFonts w:ascii="Arial" w:eastAsia="Times New Roman" w:hAnsi="Arial" w:cs="Arial"/>
          <w:sz w:val="24"/>
          <w:szCs w:val="24"/>
          <w:lang w:val="en-CA"/>
        </w:rPr>
        <w:t xml:space="preserve">Emergency. A separate rider is calculated for this account in </w:t>
      </w:r>
      <w:r>
        <w:rPr>
          <w:rFonts w:ascii="Arial" w:eastAsia="Times New Roman" w:hAnsi="Arial" w:cs="Arial"/>
          <w:sz w:val="24"/>
          <w:szCs w:val="24"/>
          <w:lang w:val="en-CA"/>
        </w:rPr>
        <w:t>T</w:t>
      </w:r>
      <w:r w:rsidR="00DF4B06" w:rsidRPr="00DF4B06">
        <w:rPr>
          <w:rFonts w:ascii="Arial" w:eastAsia="Times New Roman" w:hAnsi="Arial" w:cs="Arial"/>
          <w:sz w:val="24"/>
          <w:szCs w:val="24"/>
          <w:lang w:val="en-CA"/>
        </w:rPr>
        <w:t xml:space="preserve">ab 7 if </w:t>
      </w:r>
      <w:r>
        <w:rPr>
          <w:rFonts w:ascii="Arial" w:eastAsia="Times New Roman" w:hAnsi="Arial" w:cs="Arial"/>
          <w:sz w:val="24"/>
          <w:szCs w:val="24"/>
          <w:lang w:val="en-CA"/>
        </w:rPr>
        <w:t xml:space="preserve">the </w:t>
      </w:r>
      <w:r w:rsidR="00DF4B06" w:rsidRPr="00DF4B06">
        <w:rPr>
          <w:rFonts w:ascii="Arial" w:eastAsia="Times New Roman" w:hAnsi="Arial" w:cs="Arial"/>
          <w:sz w:val="24"/>
          <w:szCs w:val="24"/>
          <w:lang w:val="en-CA"/>
        </w:rPr>
        <w:t>disposition is approved.</w:t>
      </w:r>
    </w:p>
    <w:p w14:paraId="52AB94E5" w14:textId="7C182442" w:rsidR="00C02631" w:rsidRPr="00CF7876" w:rsidRDefault="00C02631" w:rsidP="00A61C47">
      <w:pPr>
        <w:pStyle w:val="Heading2"/>
        <w:spacing w:before="240" w:after="100" w:afterAutospacing="1"/>
        <w:rPr>
          <w:rFonts w:ascii="Cambria" w:eastAsia="Times New Roman" w:hAnsi="Cambria"/>
          <w:b/>
          <w:bCs/>
          <w:sz w:val="32"/>
          <w:szCs w:val="32"/>
        </w:rPr>
      </w:pPr>
      <w:r w:rsidRPr="00CF7876">
        <w:rPr>
          <w:rFonts w:ascii="Cambria" w:eastAsia="Times New Roman" w:hAnsi="Cambria"/>
          <w:b/>
          <w:bCs/>
          <w:sz w:val="32"/>
          <w:szCs w:val="32"/>
        </w:rPr>
        <w:t xml:space="preserve">Steps for </w:t>
      </w:r>
      <w:r w:rsidR="00D97D5D" w:rsidRPr="00CF7876">
        <w:rPr>
          <w:rFonts w:ascii="Cambria" w:eastAsia="Times New Roman" w:hAnsi="Cambria"/>
          <w:b/>
          <w:bCs/>
          <w:sz w:val="32"/>
          <w:szCs w:val="32"/>
        </w:rPr>
        <w:t>C</w:t>
      </w:r>
      <w:r w:rsidRPr="00CF7876">
        <w:rPr>
          <w:rFonts w:ascii="Cambria" w:eastAsia="Times New Roman" w:hAnsi="Cambria"/>
          <w:b/>
          <w:bCs/>
          <w:sz w:val="32"/>
          <w:szCs w:val="32"/>
        </w:rPr>
        <w:t xml:space="preserve">ompleting the </w:t>
      </w:r>
      <w:r w:rsidR="00B00D77">
        <w:rPr>
          <w:rFonts w:ascii="Cambria" w:eastAsia="Times New Roman" w:hAnsi="Cambria"/>
          <w:b/>
          <w:bCs/>
          <w:sz w:val="32"/>
          <w:szCs w:val="32"/>
        </w:rPr>
        <w:t>DVA Continuity Schedule</w:t>
      </w:r>
    </w:p>
    <w:p w14:paraId="736336AC" w14:textId="1DA9FE82" w:rsidR="00EE3EC3" w:rsidRDefault="00874B09" w:rsidP="001C1DD5">
      <w:pPr>
        <w:pStyle w:val="Heading3"/>
        <w:spacing w:after="100" w:afterAutospacing="1"/>
        <w:rPr>
          <w:rFonts w:ascii="Cambria" w:eastAsia="Times New Roman" w:hAnsi="Cambria" w:cs="Arial"/>
          <w:b/>
          <w:bCs/>
          <w:sz w:val="28"/>
          <w:szCs w:val="28"/>
          <w:u w:val="single"/>
        </w:rPr>
      </w:pPr>
      <w:r w:rsidRPr="00A61C47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Tab </w:t>
      </w:r>
      <w:r w:rsidR="00C83159" w:rsidRPr="00A61C47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1 </w:t>
      </w:r>
      <w:r w:rsidRPr="00A61C47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- </w:t>
      </w:r>
      <w:r w:rsidR="002015B0" w:rsidRPr="00A61C47">
        <w:rPr>
          <w:rFonts w:ascii="Cambria" w:eastAsia="Times New Roman" w:hAnsi="Cambria" w:cs="Arial"/>
          <w:b/>
          <w:bCs/>
          <w:sz w:val="28"/>
          <w:szCs w:val="28"/>
          <w:u w:val="single"/>
        </w:rPr>
        <w:t>Information Sheet:</w:t>
      </w:r>
    </w:p>
    <w:p w14:paraId="1D9570BC" w14:textId="0A947F90" w:rsidR="000D5CA6" w:rsidRDefault="000D5CA6" w:rsidP="00B15845">
      <w:pPr>
        <w:spacing w:after="0"/>
        <w:rPr>
          <w:rFonts w:ascii="Arial" w:hAnsi="Arial" w:cs="Arial"/>
          <w:sz w:val="24"/>
          <w:szCs w:val="24"/>
        </w:rPr>
      </w:pPr>
      <w:r w:rsidRPr="000D5CA6">
        <w:rPr>
          <w:rFonts w:ascii="Arial" w:hAnsi="Arial" w:cs="Arial"/>
          <w:sz w:val="24"/>
          <w:szCs w:val="24"/>
        </w:rPr>
        <w:t xml:space="preserve">This tab shows information pertaining to the </w:t>
      </w:r>
      <w:r w:rsidR="00A14EE9">
        <w:rPr>
          <w:rFonts w:ascii="Arial" w:hAnsi="Arial" w:cs="Arial"/>
          <w:sz w:val="24"/>
          <w:szCs w:val="24"/>
        </w:rPr>
        <w:t>distributor</w:t>
      </w:r>
      <w:r w:rsidR="00A14EE9" w:rsidRPr="000D5CA6">
        <w:rPr>
          <w:rFonts w:ascii="Arial" w:hAnsi="Arial" w:cs="Arial"/>
          <w:sz w:val="24"/>
          <w:szCs w:val="24"/>
        </w:rPr>
        <w:t xml:space="preserve"> </w:t>
      </w:r>
      <w:r w:rsidRPr="000D5CA6">
        <w:rPr>
          <w:rFonts w:ascii="Arial" w:hAnsi="Arial" w:cs="Arial"/>
          <w:sz w:val="24"/>
          <w:szCs w:val="24"/>
        </w:rPr>
        <w:t>and the application.</w:t>
      </w:r>
    </w:p>
    <w:p w14:paraId="3802D93D" w14:textId="77777777" w:rsidR="00B15845" w:rsidRPr="000D5CA6" w:rsidRDefault="00B15845" w:rsidP="00B1584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2E45E9" w14:paraId="438556B4" w14:textId="77777777" w:rsidTr="002E45E9">
        <w:tc>
          <w:tcPr>
            <w:tcW w:w="1129" w:type="dxa"/>
          </w:tcPr>
          <w:p w14:paraId="72EE26DF" w14:textId="4DEBEFAE" w:rsidR="002E45E9" w:rsidRPr="001C1DD5" w:rsidRDefault="002E45E9" w:rsidP="00342FCE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Step</w:t>
            </w:r>
            <w:r w:rsidR="001C1DD5"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#</w:t>
            </w:r>
          </w:p>
        </w:tc>
        <w:tc>
          <w:tcPr>
            <w:tcW w:w="8221" w:type="dxa"/>
          </w:tcPr>
          <w:p w14:paraId="35561C38" w14:textId="0537ECC9" w:rsidR="002E45E9" w:rsidRPr="001C1DD5" w:rsidRDefault="001C1DD5" w:rsidP="00342FCE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Instruction</w:t>
            </w:r>
          </w:p>
        </w:tc>
      </w:tr>
      <w:tr w:rsidR="002E45E9" w14:paraId="41F891E0" w14:textId="77777777" w:rsidTr="002E45E9">
        <w:tc>
          <w:tcPr>
            <w:tcW w:w="1129" w:type="dxa"/>
          </w:tcPr>
          <w:p w14:paraId="6D5C005E" w14:textId="676508A7" w:rsidR="002E45E9" w:rsidRPr="009A6AA0" w:rsidRDefault="009A6AA0" w:rsidP="007779E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6AA0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9A6AA0">
              <w:rPr>
                <w:rFonts w:ascii="Arial" w:hAnsi="Arial" w:cs="Arial"/>
                <w:bCs/>
                <w:sz w:val="24"/>
                <w:szCs w:val="24"/>
              </w:rPr>
              <w:instrText xml:space="preserve"> AUTONUMLGL  \* Arabic \e </w:instrText>
            </w:r>
            <w:r w:rsidRPr="009A6AA0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221" w:type="dxa"/>
          </w:tcPr>
          <w:p w14:paraId="7D871333" w14:textId="62D2FFC5" w:rsidR="002E45E9" w:rsidRDefault="001C1DD5" w:rsidP="00342FCE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Complete the Information Sheet</w:t>
            </w:r>
          </w:p>
        </w:tc>
      </w:tr>
    </w:tbl>
    <w:p w14:paraId="3BE96192" w14:textId="77777777" w:rsidR="00342FCE" w:rsidRDefault="00342FCE" w:rsidP="00342FCE">
      <w:pPr>
        <w:spacing w:after="0" w:line="276" w:lineRule="auto"/>
        <w:ind w:firstLine="360"/>
        <w:rPr>
          <w:rFonts w:ascii="Arial" w:eastAsia="Times New Roman" w:hAnsi="Arial" w:cs="Arial"/>
          <w:sz w:val="24"/>
          <w:szCs w:val="24"/>
        </w:rPr>
      </w:pPr>
    </w:p>
    <w:p w14:paraId="6AD00A1E" w14:textId="4A2100A8" w:rsidR="00532436" w:rsidRPr="002B34EE" w:rsidRDefault="00532436" w:rsidP="00FA249E">
      <w:pPr>
        <w:spacing w:after="0" w:line="276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B34EE">
        <w:rPr>
          <w:rFonts w:ascii="Arial" w:eastAsia="Times New Roman" w:hAnsi="Arial" w:cs="Arial"/>
          <w:sz w:val="24"/>
          <w:szCs w:val="24"/>
          <w:u w:val="single"/>
        </w:rPr>
        <w:t>Notes</w:t>
      </w:r>
      <w:r w:rsidRPr="002B34EE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: </w:t>
      </w:r>
    </w:p>
    <w:p w14:paraId="3972526D" w14:textId="1CAE6E74" w:rsidR="00B0531D" w:rsidRPr="00081398" w:rsidRDefault="00B0531D" w:rsidP="00FA249E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081398">
        <w:rPr>
          <w:rFonts w:ascii="Arial" w:eastAsia="Times New Roman" w:hAnsi="Arial" w:cs="Arial"/>
          <w:sz w:val="24"/>
          <w:szCs w:val="24"/>
        </w:rPr>
        <w:t>Questions 1-4:</w:t>
      </w:r>
    </w:p>
    <w:p w14:paraId="78CBC380" w14:textId="3F63CEF8" w:rsidR="00B0531D" w:rsidRDefault="00B0531D" w:rsidP="00342FCE">
      <w:pPr>
        <w:pStyle w:val="ListParagraph"/>
        <w:numPr>
          <w:ilvl w:val="0"/>
          <w:numId w:val="80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B0531D">
        <w:rPr>
          <w:rFonts w:ascii="Arial" w:eastAsia="Times New Roman" w:hAnsi="Arial" w:cs="Arial"/>
          <w:sz w:val="24"/>
          <w:szCs w:val="24"/>
        </w:rPr>
        <w:t xml:space="preserve">Responses to these questions will open the DVA </w:t>
      </w:r>
      <w:r w:rsidR="000861B3">
        <w:rPr>
          <w:rFonts w:ascii="Arial" w:eastAsia="Times New Roman" w:hAnsi="Arial" w:cs="Arial"/>
          <w:sz w:val="24"/>
          <w:szCs w:val="24"/>
        </w:rPr>
        <w:t>C</w:t>
      </w:r>
      <w:r w:rsidRPr="00B0531D">
        <w:rPr>
          <w:rFonts w:ascii="Arial" w:eastAsia="Times New Roman" w:hAnsi="Arial" w:cs="Arial"/>
          <w:sz w:val="24"/>
          <w:szCs w:val="24"/>
        </w:rPr>
        <w:t xml:space="preserve">ontinuity </w:t>
      </w:r>
      <w:r w:rsidR="000861B3">
        <w:rPr>
          <w:rFonts w:ascii="Arial" w:eastAsia="Times New Roman" w:hAnsi="Arial" w:cs="Arial"/>
          <w:sz w:val="24"/>
          <w:szCs w:val="24"/>
        </w:rPr>
        <w:t>S</w:t>
      </w:r>
      <w:r w:rsidRPr="00B0531D">
        <w:rPr>
          <w:rFonts w:ascii="Arial" w:eastAsia="Times New Roman" w:hAnsi="Arial" w:cs="Arial"/>
          <w:sz w:val="24"/>
          <w:szCs w:val="24"/>
        </w:rPr>
        <w:t xml:space="preserve">chedule in </w:t>
      </w:r>
      <w:r w:rsidR="00C97486">
        <w:rPr>
          <w:rFonts w:ascii="Arial" w:eastAsia="Times New Roman" w:hAnsi="Arial" w:cs="Arial"/>
          <w:sz w:val="24"/>
          <w:szCs w:val="24"/>
        </w:rPr>
        <w:t>T</w:t>
      </w:r>
      <w:r w:rsidRPr="00B0531D">
        <w:rPr>
          <w:rFonts w:ascii="Arial" w:eastAsia="Times New Roman" w:hAnsi="Arial" w:cs="Arial"/>
          <w:sz w:val="24"/>
          <w:szCs w:val="24"/>
        </w:rPr>
        <w:t>abs 2a and 2b to the appropriate year that DVA balances should first be inputted.</w:t>
      </w:r>
    </w:p>
    <w:p w14:paraId="447B29E0" w14:textId="0970FFF2" w:rsidR="007E516D" w:rsidRPr="00B0531D" w:rsidRDefault="007E516D" w:rsidP="00342FCE">
      <w:pPr>
        <w:pStyle w:val="ListParagraph"/>
        <w:numPr>
          <w:ilvl w:val="0"/>
          <w:numId w:val="80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7E516D">
        <w:rPr>
          <w:rFonts w:ascii="Arial" w:eastAsia="Times New Roman" w:hAnsi="Arial" w:cs="Arial"/>
          <w:sz w:val="24"/>
          <w:szCs w:val="24"/>
        </w:rPr>
        <w:t xml:space="preserve">The continuity schedule in </w:t>
      </w:r>
      <w:r w:rsidR="00C97486">
        <w:rPr>
          <w:rFonts w:ascii="Arial" w:eastAsia="Times New Roman" w:hAnsi="Arial" w:cs="Arial"/>
          <w:sz w:val="24"/>
          <w:szCs w:val="24"/>
        </w:rPr>
        <w:t>T</w:t>
      </w:r>
      <w:r w:rsidRPr="007E516D">
        <w:rPr>
          <w:rFonts w:ascii="Arial" w:eastAsia="Times New Roman" w:hAnsi="Arial" w:cs="Arial"/>
          <w:sz w:val="24"/>
          <w:szCs w:val="24"/>
        </w:rPr>
        <w:t xml:space="preserve">ab 2a will open starting from the year balances were last approved for </w:t>
      </w:r>
      <w:r w:rsidR="00D92D02">
        <w:rPr>
          <w:rFonts w:ascii="Arial" w:eastAsia="Times New Roman" w:hAnsi="Arial" w:cs="Arial"/>
          <w:sz w:val="24"/>
          <w:szCs w:val="24"/>
        </w:rPr>
        <w:t xml:space="preserve">the </w:t>
      </w:r>
      <w:r w:rsidRPr="007E516D">
        <w:rPr>
          <w:rFonts w:ascii="Arial" w:eastAsia="Times New Roman" w:hAnsi="Arial" w:cs="Arial"/>
          <w:sz w:val="24"/>
          <w:szCs w:val="24"/>
        </w:rPr>
        <w:t>disposition</w:t>
      </w:r>
      <w:r w:rsidR="00D16F68">
        <w:rPr>
          <w:rFonts w:ascii="Arial" w:eastAsia="Times New Roman" w:hAnsi="Arial" w:cs="Arial"/>
          <w:sz w:val="24"/>
          <w:szCs w:val="24"/>
        </w:rPr>
        <w:t xml:space="preserve"> (interim or final)</w:t>
      </w:r>
      <w:r w:rsidRPr="007E516D">
        <w:rPr>
          <w:rFonts w:ascii="Arial" w:eastAsia="Times New Roman" w:hAnsi="Arial" w:cs="Arial"/>
          <w:sz w:val="24"/>
          <w:szCs w:val="24"/>
        </w:rPr>
        <w:t xml:space="preserve"> unless the last approved disposition </w:t>
      </w:r>
      <w:r w:rsidRPr="007E516D">
        <w:rPr>
          <w:rFonts w:ascii="Arial" w:eastAsia="Times New Roman" w:hAnsi="Arial" w:cs="Arial"/>
          <w:sz w:val="24"/>
          <w:szCs w:val="24"/>
        </w:rPr>
        <w:lastRenderedPageBreak/>
        <w:t xml:space="preserve">was on an interim basis and there are changes to those balances. If that is the case, </w:t>
      </w:r>
      <w:r w:rsidR="00D16F68">
        <w:rPr>
          <w:rFonts w:ascii="Arial" w:eastAsia="Times New Roman" w:hAnsi="Arial" w:cs="Arial"/>
          <w:sz w:val="24"/>
          <w:szCs w:val="24"/>
        </w:rPr>
        <w:t>T</w:t>
      </w:r>
      <w:r w:rsidRPr="007E516D">
        <w:rPr>
          <w:rFonts w:ascii="Arial" w:eastAsia="Times New Roman" w:hAnsi="Arial" w:cs="Arial"/>
          <w:sz w:val="24"/>
          <w:szCs w:val="24"/>
        </w:rPr>
        <w:t xml:space="preserve">ab 2a will open from the year of </w:t>
      </w:r>
      <w:r w:rsidR="008525C4">
        <w:rPr>
          <w:rFonts w:ascii="Arial" w:eastAsia="Times New Roman" w:hAnsi="Arial" w:cs="Arial"/>
          <w:sz w:val="24"/>
          <w:szCs w:val="24"/>
        </w:rPr>
        <w:t xml:space="preserve">the </w:t>
      </w:r>
      <w:r w:rsidRPr="007E516D">
        <w:rPr>
          <w:rFonts w:ascii="Arial" w:eastAsia="Times New Roman" w:hAnsi="Arial" w:cs="Arial"/>
          <w:sz w:val="24"/>
          <w:szCs w:val="24"/>
        </w:rPr>
        <w:t>last approved disposition on a final basis. A distributor must also provide an explanation for the change in the previously approved balance.</w:t>
      </w:r>
    </w:p>
    <w:p w14:paraId="7990A8C3" w14:textId="3DA72E50" w:rsidR="00B0531D" w:rsidRDefault="00B0531D" w:rsidP="00342FCE">
      <w:pPr>
        <w:spacing w:after="0" w:line="276" w:lineRule="auto"/>
        <w:ind w:firstLine="360"/>
        <w:rPr>
          <w:rFonts w:ascii="Arial" w:eastAsia="Times New Roman" w:hAnsi="Arial" w:cs="Arial"/>
          <w:sz w:val="24"/>
          <w:szCs w:val="24"/>
        </w:rPr>
      </w:pPr>
    </w:p>
    <w:p w14:paraId="51A87513" w14:textId="2267B237" w:rsidR="00B0531D" w:rsidRPr="00081398" w:rsidRDefault="00F012D7" w:rsidP="00060D01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081398">
        <w:rPr>
          <w:rFonts w:ascii="Arial" w:eastAsia="Times New Roman" w:hAnsi="Arial" w:cs="Arial"/>
          <w:sz w:val="24"/>
          <w:szCs w:val="24"/>
        </w:rPr>
        <w:t>Questions 5-6:</w:t>
      </w:r>
    </w:p>
    <w:p w14:paraId="7F2CA33F" w14:textId="0BF3DFF5" w:rsidR="00F012D7" w:rsidRPr="00081398" w:rsidRDefault="00F012D7" w:rsidP="00081398">
      <w:pPr>
        <w:pStyle w:val="ListParagraph"/>
        <w:numPr>
          <w:ilvl w:val="0"/>
          <w:numId w:val="80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081398">
        <w:rPr>
          <w:rFonts w:ascii="Arial" w:eastAsia="Times New Roman" w:hAnsi="Arial" w:cs="Arial"/>
          <w:sz w:val="24"/>
          <w:szCs w:val="24"/>
        </w:rPr>
        <w:t>If the response to question 5 (</w:t>
      </w:r>
      <w:r w:rsidR="00B54D4E">
        <w:rPr>
          <w:rFonts w:ascii="Arial" w:eastAsia="Times New Roman" w:hAnsi="Arial" w:cs="Arial"/>
          <w:sz w:val="24"/>
          <w:szCs w:val="24"/>
        </w:rPr>
        <w:t>Global Adjustment (</w:t>
      </w:r>
      <w:r w:rsidRPr="00081398">
        <w:rPr>
          <w:rFonts w:ascii="Arial" w:eastAsia="Times New Roman" w:hAnsi="Arial" w:cs="Arial"/>
          <w:sz w:val="24"/>
          <w:szCs w:val="24"/>
        </w:rPr>
        <w:t>GA</w:t>
      </w:r>
      <w:r w:rsidR="00B54D4E">
        <w:rPr>
          <w:rFonts w:ascii="Arial" w:eastAsia="Times New Roman" w:hAnsi="Arial" w:cs="Arial"/>
          <w:sz w:val="24"/>
          <w:szCs w:val="24"/>
        </w:rPr>
        <w:t>)</w:t>
      </w:r>
      <w:r w:rsidRPr="00081398">
        <w:rPr>
          <w:rFonts w:ascii="Arial" w:eastAsia="Times New Roman" w:hAnsi="Arial" w:cs="Arial"/>
          <w:sz w:val="24"/>
          <w:szCs w:val="24"/>
        </w:rPr>
        <w:t>) or 6 (C</w:t>
      </w:r>
      <w:r w:rsidR="007571DA">
        <w:rPr>
          <w:rFonts w:ascii="Arial" w:eastAsia="Times New Roman" w:hAnsi="Arial" w:cs="Arial"/>
          <w:sz w:val="24"/>
          <w:szCs w:val="24"/>
        </w:rPr>
        <w:t xml:space="preserve">apacity </w:t>
      </w:r>
      <w:r w:rsidRPr="00081398">
        <w:rPr>
          <w:rFonts w:ascii="Arial" w:eastAsia="Times New Roman" w:hAnsi="Arial" w:cs="Arial"/>
          <w:sz w:val="24"/>
          <w:szCs w:val="24"/>
        </w:rPr>
        <w:t>B</w:t>
      </w:r>
      <w:r w:rsidR="007571DA">
        <w:rPr>
          <w:rFonts w:ascii="Arial" w:eastAsia="Times New Roman" w:hAnsi="Arial" w:cs="Arial"/>
          <w:sz w:val="24"/>
          <w:szCs w:val="24"/>
        </w:rPr>
        <w:t xml:space="preserve">ased </w:t>
      </w:r>
      <w:r w:rsidRPr="00081398">
        <w:rPr>
          <w:rFonts w:ascii="Arial" w:eastAsia="Times New Roman" w:hAnsi="Arial" w:cs="Arial"/>
          <w:sz w:val="24"/>
          <w:szCs w:val="24"/>
        </w:rPr>
        <w:t>R</w:t>
      </w:r>
      <w:r w:rsidR="00762AC5">
        <w:rPr>
          <w:rFonts w:ascii="Arial" w:eastAsia="Times New Roman" w:hAnsi="Arial" w:cs="Arial"/>
          <w:sz w:val="24"/>
          <w:szCs w:val="24"/>
        </w:rPr>
        <w:t>ecovery (CBR)</w:t>
      </w:r>
      <w:r w:rsidRPr="00081398">
        <w:rPr>
          <w:rFonts w:ascii="Arial" w:eastAsia="Times New Roman" w:hAnsi="Arial" w:cs="Arial"/>
          <w:sz w:val="24"/>
          <w:szCs w:val="24"/>
        </w:rPr>
        <w:t xml:space="preserve"> Class B) is yes, </w:t>
      </w:r>
      <w:r w:rsidR="00D16F68">
        <w:rPr>
          <w:rFonts w:ascii="Arial" w:eastAsia="Times New Roman" w:hAnsi="Arial" w:cs="Arial"/>
          <w:sz w:val="24"/>
          <w:szCs w:val="24"/>
        </w:rPr>
        <w:t>T</w:t>
      </w:r>
      <w:r w:rsidRPr="00081398">
        <w:rPr>
          <w:rFonts w:ascii="Arial" w:eastAsia="Times New Roman" w:hAnsi="Arial" w:cs="Arial"/>
          <w:sz w:val="24"/>
          <w:szCs w:val="24"/>
        </w:rPr>
        <w:t>ab 6 relating to Class A customers' consumption will be generated.</w:t>
      </w:r>
    </w:p>
    <w:p w14:paraId="210EA9C2" w14:textId="7EB0F5CC" w:rsidR="00F012D7" w:rsidRPr="00081398" w:rsidRDefault="00081398" w:rsidP="00081398">
      <w:pPr>
        <w:pStyle w:val="ListParagraph"/>
        <w:numPr>
          <w:ilvl w:val="0"/>
          <w:numId w:val="80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081398">
        <w:rPr>
          <w:rFonts w:ascii="Arial" w:eastAsia="Times New Roman" w:hAnsi="Arial" w:cs="Arial"/>
          <w:sz w:val="24"/>
          <w:szCs w:val="24"/>
        </w:rPr>
        <w:t xml:space="preserve">If the response to question 6 is yes, then </w:t>
      </w:r>
      <w:r w:rsidR="008B0752">
        <w:rPr>
          <w:rFonts w:ascii="Arial" w:eastAsia="Times New Roman" w:hAnsi="Arial" w:cs="Arial"/>
          <w:sz w:val="24"/>
          <w:szCs w:val="24"/>
        </w:rPr>
        <w:t>T</w:t>
      </w:r>
      <w:r w:rsidRPr="00081398">
        <w:rPr>
          <w:rFonts w:ascii="Arial" w:eastAsia="Times New Roman" w:hAnsi="Arial" w:cs="Arial"/>
          <w:sz w:val="24"/>
          <w:szCs w:val="24"/>
        </w:rPr>
        <w:t xml:space="preserve">ab 6.2 will also be generated. Tab 6.2 calculates the billing determinants for </w:t>
      </w:r>
      <w:r w:rsidR="00F1040A">
        <w:rPr>
          <w:rFonts w:ascii="Arial" w:eastAsia="Times New Roman" w:hAnsi="Arial" w:cs="Arial"/>
          <w:sz w:val="24"/>
          <w:szCs w:val="24"/>
        </w:rPr>
        <w:t xml:space="preserve">the </w:t>
      </w:r>
      <w:r w:rsidRPr="00081398">
        <w:rPr>
          <w:rFonts w:ascii="Arial" w:eastAsia="Times New Roman" w:hAnsi="Arial" w:cs="Arial"/>
          <w:sz w:val="24"/>
          <w:szCs w:val="24"/>
        </w:rPr>
        <w:t>Account 1580</w:t>
      </w:r>
      <w:r w:rsidR="003C3ABE">
        <w:rPr>
          <w:rFonts w:ascii="Arial" w:eastAsia="Times New Roman" w:hAnsi="Arial" w:cs="Arial"/>
          <w:sz w:val="24"/>
          <w:szCs w:val="24"/>
        </w:rPr>
        <w:t>,</w:t>
      </w:r>
      <w:r w:rsidR="001D054C">
        <w:rPr>
          <w:rFonts w:ascii="Arial" w:eastAsia="Times New Roman" w:hAnsi="Arial" w:cs="Arial"/>
          <w:sz w:val="24"/>
          <w:szCs w:val="24"/>
        </w:rPr>
        <w:t xml:space="preserve"> </w:t>
      </w:r>
      <w:r w:rsidR="00DE6DCD">
        <w:rPr>
          <w:rFonts w:ascii="Arial" w:eastAsia="Times New Roman" w:hAnsi="Arial" w:cs="Arial"/>
          <w:sz w:val="24"/>
          <w:szCs w:val="24"/>
        </w:rPr>
        <w:t xml:space="preserve">Sub-account </w:t>
      </w:r>
      <w:r w:rsidRPr="00081398">
        <w:rPr>
          <w:rFonts w:ascii="Arial" w:eastAsia="Times New Roman" w:hAnsi="Arial" w:cs="Arial"/>
          <w:sz w:val="24"/>
          <w:szCs w:val="24"/>
        </w:rPr>
        <w:t xml:space="preserve">CBR Class B rate rider, if applicable, using information inputted in </w:t>
      </w:r>
      <w:r w:rsidR="008B0752">
        <w:rPr>
          <w:rFonts w:ascii="Arial" w:eastAsia="Times New Roman" w:hAnsi="Arial" w:cs="Arial"/>
          <w:sz w:val="24"/>
          <w:szCs w:val="24"/>
        </w:rPr>
        <w:t>T</w:t>
      </w:r>
      <w:r w:rsidRPr="00081398">
        <w:rPr>
          <w:rFonts w:ascii="Arial" w:eastAsia="Times New Roman" w:hAnsi="Arial" w:cs="Arial"/>
          <w:sz w:val="24"/>
          <w:szCs w:val="24"/>
        </w:rPr>
        <w:t>abs 4 and 6.</w:t>
      </w:r>
    </w:p>
    <w:p w14:paraId="73314355" w14:textId="65D29675" w:rsidR="00081398" w:rsidRPr="00081398" w:rsidRDefault="00081398" w:rsidP="00081398">
      <w:pPr>
        <w:pStyle w:val="ListParagraph"/>
        <w:numPr>
          <w:ilvl w:val="0"/>
          <w:numId w:val="80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081398">
        <w:rPr>
          <w:rFonts w:ascii="Arial" w:eastAsia="Times New Roman" w:hAnsi="Arial" w:cs="Arial"/>
          <w:sz w:val="24"/>
          <w:szCs w:val="24"/>
        </w:rPr>
        <w:t xml:space="preserve">If the response to question 6 is no, then the balance in Account 1580, </w:t>
      </w:r>
      <w:r w:rsidR="00DE6DCD">
        <w:rPr>
          <w:rFonts w:ascii="Arial" w:eastAsia="Times New Roman" w:hAnsi="Arial" w:cs="Arial"/>
          <w:sz w:val="24"/>
          <w:szCs w:val="24"/>
        </w:rPr>
        <w:t xml:space="preserve">Sub-account </w:t>
      </w:r>
      <w:r w:rsidRPr="00081398">
        <w:rPr>
          <w:rFonts w:ascii="Arial" w:eastAsia="Times New Roman" w:hAnsi="Arial" w:cs="Arial"/>
          <w:sz w:val="24"/>
          <w:szCs w:val="24"/>
        </w:rPr>
        <w:t xml:space="preserve">CBR Class B will be allocated and disposed </w:t>
      </w:r>
      <w:r w:rsidR="000260F4">
        <w:rPr>
          <w:rFonts w:ascii="Arial" w:eastAsia="Times New Roman" w:hAnsi="Arial" w:cs="Arial"/>
          <w:sz w:val="24"/>
          <w:szCs w:val="24"/>
        </w:rPr>
        <w:t xml:space="preserve">of </w:t>
      </w:r>
      <w:r w:rsidR="00DF0614">
        <w:rPr>
          <w:rFonts w:ascii="Arial" w:eastAsia="Times New Roman" w:hAnsi="Arial" w:cs="Arial"/>
          <w:sz w:val="24"/>
          <w:szCs w:val="24"/>
        </w:rPr>
        <w:t xml:space="preserve">along </w:t>
      </w:r>
      <w:r w:rsidRPr="00081398">
        <w:rPr>
          <w:rFonts w:ascii="Arial" w:eastAsia="Times New Roman" w:hAnsi="Arial" w:cs="Arial"/>
          <w:sz w:val="24"/>
          <w:szCs w:val="24"/>
        </w:rPr>
        <w:t>with Account 1580 WMS, as part of the general DVA rate rider</w:t>
      </w:r>
    </w:p>
    <w:p w14:paraId="706CDBAF" w14:textId="0D9CADF7" w:rsidR="00081398" w:rsidRDefault="00081398" w:rsidP="00081398">
      <w:pPr>
        <w:spacing w:line="276" w:lineRule="auto"/>
        <w:ind w:left="720"/>
      </w:pPr>
    </w:p>
    <w:p w14:paraId="638E7117" w14:textId="26F733A2" w:rsidR="00CC717A" w:rsidRDefault="00CC717A" w:rsidP="005A14E7">
      <w:pPr>
        <w:pStyle w:val="Heading3"/>
        <w:spacing w:after="100" w:afterAutospacing="1"/>
        <w:rPr>
          <w:rFonts w:ascii="Cambria" w:eastAsia="Times New Roman" w:hAnsi="Cambria" w:cs="Arial"/>
          <w:b/>
          <w:bCs/>
          <w:sz w:val="28"/>
          <w:szCs w:val="28"/>
          <w:u w:val="single"/>
        </w:rPr>
      </w:pP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Tab </w:t>
      </w:r>
      <w:r w:rsidR="00C83159"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2a </w:t>
      </w:r>
      <w:r w:rsidR="001A3044"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>–</w:t>
      </w: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 </w:t>
      </w:r>
      <w:r w:rsidR="001A3044"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>Continuity Schedule</w:t>
      </w:r>
      <w:r w:rsidR="000D5CA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 for Group 1</w:t>
      </w:r>
    </w:p>
    <w:p w14:paraId="7484A690" w14:textId="5AE2F060" w:rsidR="00405C9C" w:rsidRDefault="00405C9C" w:rsidP="00B15845">
      <w:pPr>
        <w:spacing w:after="0"/>
        <w:rPr>
          <w:rFonts w:ascii="Arial" w:hAnsi="Arial" w:cs="Arial"/>
          <w:sz w:val="24"/>
          <w:szCs w:val="24"/>
        </w:rPr>
      </w:pPr>
      <w:r w:rsidRPr="00405C9C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is</w:t>
      </w:r>
      <w:r w:rsidRPr="00405C9C">
        <w:rPr>
          <w:rFonts w:ascii="Arial" w:hAnsi="Arial" w:cs="Arial"/>
          <w:sz w:val="24"/>
          <w:szCs w:val="24"/>
        </w:rPr>
        <w:t xml:space="preserve"> tab </w:t>
      </w:r>
      <w:r>
        <w:rPr>
          <w:rFonts w:ascii="Arial" w:hAnsi="Arial" w:cs="Arial"/>
          <w:sz w:val="24"/>
          <w:szCs w:val="24"/>
        </w:rPr>
        <w:t>is</w:t>
      </w:r>
      <w:r w:rsidRPr="00405C9C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 xml:space="preserve">Group 1 </w:t>
      </w:r>
      <w:r w:rsidR="00D560C4">
        <w:rPr>
          <w:rFonts w:ascii="Arial" w:hAnsi="Arial" w:cs="Arial"/>
          <w:sz w:val="24"/>
          <w:szCs w:val="24"/>
        </w:rPr>
        <w:t>accounts C</w:t>
      </w:r>
      <w:r w:rsidRPr="00405C9C">
        <w:rPr>
          <w:rFonts w:ascii="Arial" w:hAnsi="Arial" w:cs="Arial"/>
          <w:sz w:val="24"/>
          <w:szCs w:val="24"/>
        </w:rPr>
        <w:t xml:space="preserve">ontinuity </w:t>
      </w:r>
      <w:r w:rsidR="00D560C4">
        <w:rPr>
          <w:rFonts w:ascii="Arial" w:hAnsi="Arial" w:cs="Arial"/>
          <w:sz w:val="24"/>
          <w:szCs w:val="24"/>
        </w:rPr>
        <w:t>S</w:t>
      </w:r>
      <w:r w:rsidRPr="00405C9C">
        <w:rPr>
          <w:rFonts w:ascii="Arial" w:hAnsi="Arial" w:cs="Arial"/>
          <w:sz w:val="24"/>
          <w:szCs w:val="24"/>
        </w:rPr>
        <w:t>chedule that show</w:t>
      </w:r>
      <w:r w:rsidR="00DF0614">
        <w:rPr>
          <w:rFonts w:ascii="Arial" w:hAnsi="Arial" w:cs="Arial"/>
          <w:sz w:val="24"/>
          <w:szCs w:val="24"/>
        </w:rPr>
        <w:t>s</w:t>
      </w:r>
      <w:r w:rsidRPr="00405C9C">
        <w:rPr>
          <w:rFonts w:ascii="Arial" w:hAnsi="Arial" w:cs="Arial"/>
          <w:sz w:val="24"/>
          <w:szCs w:val="24"/>
        </w:rPr>
        <w:t xml:space="preserve"> all </w:t>
      </w:r>
      <w:r w:rsidR="00DF0614">
        <w:rPr>
          <w:rFonts w:ascii="Arial" w:hAnsi="Arial" w:cs="Arial"/>
          <w:sz w:val="24"/>
          <w:szCs w:val="24"/>
        </w:rPr>
        <w:t xml:space="preserve">Group 1 </w:t>
      </w:r>
      <w:r w:rsidRPr="00405C9C">
        <w:rPr>
          <w:rFonts w:ascii="Arial" w:hAnsi="Arial" w:cs="Arial"/>
          <w:sz w:val="24"/>
          <w:szCs w:val="24"/>
        </w:rPr>
        <w:t xml:space="preserve">accounts and the accumulation of the balances </w:t>
      </w:r>
      <w:r w:rsidR="002A5336">
        <w:rPr>
          <w:rFonts w:ascii="Arial" w:hAnsi="Arial" w:cs="Arial"/>
          <w:sz w:val="24"/>
          <w:szCs w:val="24"/>
        </w:rPr>
        <w:t>for these accounts</w:t>
      </w:r>
      <w:r w:rsidRPr="00405C9C">
        <w:rPr>
          <w:rFonts w:ascii="Arial" w:hAnsi="Arial" w:cs="Arial"/>
          <w:sz w:val="24"/>
          <w:szCs w:val="24"/>
        </w:rPr>
        <w:t xml:space="preserve">. </w:t>
      </w:r>
    </w:p>
    <w:p w14:paraId="5ECE5508" w14:textId="77777777" w:rsidR="00B15845" w:rsidRPr="00405C9C" w:rsidRDefault="00B15845" w:rsidP="00B1584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F05922" w14:paraId="77B80C8E" w14:textId="77777777" w:rsidTr="00FB11C3">
        <w:tc>
          <w:tcPr>
            <w:tcW w:w="1129" w:type="dxa"/>
          </w:tcPr>
          <w:p w14:paraId="402CE89C" w14:textId="77777777" w:rsidR="00F05922" w:rsidRPr="001C1DD5" w:rsidRDefault="00F05922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Step #</w:t>
            </w:r>
          </w:p>
        </w:tc>
        <w:tc>
          <w:tcPr>
            <w:tcW w:w="8221" w:type="dxa"/>
          </w:tcPr>
          <w:p w14:paraId="15E47062" w14:textId="77777777" w:rsidR="00F05922" w:rsidRPr="001C1DD5" w:rsidRDefault="00F05922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Instruction</w:t>
            </w:r>
          </w:p>
        </w:tc>
      </w:tr>
      <w:tr w:rsidR="00F05922" w14:paraId="063CD94D" w14:textId="77777777" w:rsidTr="00FB11C3">
        <w:tc>
          <w:tcPr>
            <w:tcW w:w="1129" w:type="dxa"/>
          </w:tcPr>
          <w:p w14:paraId="7E45E3E3" w14:textId="7B848796" w:rsidR="00701107" w:rsidRDefault="009A6AA0" w:rsidP="009A6AA0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6AA0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9A6AA0">
              <w:rPr>
                <w:rFonts w:ascii="Arial" w:hAnsi="Arial" w:cs="Arial"/>
                <w:bCs/>
                <w:sz w:val="24"/>
                <w:szCs w:val="24"/>
              </w:rPr>
              <w:instrText xml:space="preserve"> AUTONUMLGL  \* Arabic \e </w:instrText>
            </w:r>
            <w:r w:rsidRPr="009A6AA0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  <w:p w14:paraId="0D186997" w14:textId="77777777" w:rsidR="001B4F54" w:rsidRDefault="001B4F54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EBBC82" w14:textId="77777777" w:rsidR="001B4F54" w:rsidRDefault="001B4F54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C766B00" w14:textId="77777777" w:rsidR="001B4F54" w:rsidRDefault="001B4F54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AB93F4" w14:textId="77777777" w:rsidR="001B4F54" w:rsidRDefault="001B4F54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E34133" w14:textId="77777777" w:rsidR="001B4F54" w:rsidRDefault="001B4F54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826FA3D" w14:textId="77777777" w:rsidR="001B4F54" w:rsidRDefault="001B4F54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577140" w14:textId="77777777" w:rsidR="001B4F54" w:rsidRDefault="001B4F54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AC6A330" w14:textId="3827DE49" w:rsidR="001B4F54" w:rsidRDefault="001B4F54" w:rsidP="00295B9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CE03B87" w14:textId="0E30956B" w:rsidR="009435E6" w:rsidRPr="00F05922" w:rsidRDefault="009435E6" w:rsidP="009435E6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05922">
              <w:rPr>
                <w:rFonts w:ascii="Arial" w:eastAsia="Times New Roman" w:hAnsi="Arial" w:cs="Arial"/>
                <w:sz w:val="24"/>
                <w:szCs w:val="24"/>
              </w:rPr>
              <w:t>Complete the Continuity Schedule for Group 1 accounts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except Account 1595 in the following manner:</w:t>
            </w:r>
          </w:p>
          <w:p w14:paraId="50BDAFD2" w14:textId="7A1C2E91" w:rsidR="00701107" w:rsidRPr="00487415" w:rsidRDefault="00701107" w:rsidP="00487415">
            <w:pPr>
              <w:pStyle w:val="ListParagraph"/>
              <w:numPr>
                <w:ilvl w:val="0"/>
                <w:numId w:val="86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487415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="00744FC8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487415">
              <w:rPr>
                <w:rFonts w:ascii="Arial" w:eastAsia="Times New Roman" w:hAnsi="Arial" w:cs="Arial"/>
                <w:sz w:val="24"/>
                <w:szCs w:val="24"/>
              </w:rPr>
              <w:t xml:space="preserve">ontinuity </w:t>
            </w:r>
            <w:r w:rsidR="00744FC8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487415">
              <w:rPr>
                <w:rFonts w:ascii="Arial" w:eastAsia="Times New Roman" w:hAnsi="Arial" w:cs="Arial"/>
                <w:sz w:val="24"/>
                <w:szCs w:val="24"/>
              </w:rPr>
              <w:t>chedule generally will open from the year the GL balance was last disposed</w:t>
            </w:r>
            <w:r w:rsidR="000260F4">
              <w:rPr>
                <w:rFonts w:ascii="Arial" w:eastAsia="Times New Roman" w:hAnsi="Arial" w:cs="Arial"/>
                <w:sz w:val="24"/>
                <w:szCs w:val="24"/>
              </w:rPr>
              <w:t xml:space="preserve"> of</w:t>
            </w:r>
            <w:r w:rsidRPr="00487415">
              <w:rPr>
                <w:rFonts w:ascii="Arial" w:eastAsia="Times New Roman" w:hAnsi="Arial" w:cs="Arial"/>
                <w:sz w:val="24"/>
                <w:szCs w:val="24"/>
              </w:rPr>
              <w:t>.  Start inputting the approved ending balances in the Adjustments column of that year.</w:t>
            </w:r>
          </w:p>
          <w:p w14:paraId="08BF7175" w14:textId="14EA2F91" w:rsidR="00701107" w:rsidRPr="00534902" w:rsidRDefault="00701107" w:rsidP="00534902">
            <w:pPr>
              <w:pStyle w:val="ListParagraph"/>
              <w:numPr>
                <w:ilvl w:val="1"/>
                <w:numId w:val="80"/>
              </w:numPr>
              <w:spacing w:line="276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For example, if in the 202</w:t>
            </w:r>
            <w:r w:rsidR="00EE41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3</w:t>
            </w:r>
            <w:r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rate application, DVA balances as </w:t>
            </w:r>
            <w:proofErr w:type="gramStart"/>
            <w:r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at</w:t>
            </w:r>
            <w:proofErr w:type="gramEnd"/>
            <w:r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December 3</w:t>
            </w:r>
            <w:r w:rsidR="00AF3B7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</w:t>
            </w:r>
            <w:r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, 202</w:t>
            </w:r>
            <w:r w:rsidR="00EE41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</w:t>
            </w:r>
            <w:r w:rsidR="00EC441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,</w:t>
            </w:r>
            <w:r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were approved for disposition</w:t>
            </w:r>
            <w:r w:rsidR="00C6025E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(final or interim)</w:t>
            </w:r>
            <w:r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, the continuity schedule will commence from 202</w:t>
            </w:r>
            <w:r w:rsidR="00EE41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</w:t>
            </w:r>
            <w:r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  Start by inputting the approved closing 202</w:t>
            </w:r>
            <w:r w:rsidR="00EE41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</w:t>
            </w:r>
            <w:r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balances in the Adjustments column under 202</w:t>
            </w:r>
            <w:r w:rsidR="00EE41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1</w:t>
            </w:r>
            <w:r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.</w:t>
            </w:r>
          </w:p>
          <w:p w14:paraId="616F4F2A" w14:textId="04A04004" w:rsidR="00F05922" w:rsidRDefault="00F05922" w:rsidP="00FB11C3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95B98" w14:paraId="65A2D0AD" w14:textId="77777777" w:rsidTr="00FB11C3">
        <w:tc>
          <w:tcPr>
            <w:tcW w:w="1129" w:type="dxa"/>
          </w:tcPr>
          <w:p w14:paraId="10C19E1A" w14:textId="4541E209" w:rsidR="00295B98" w:rsidRDefault="009A6AA0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6AA0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9A6AA0">
              <w:rPr>
                <w:rFonts w:ascii="Arial" w:hAnsi="Arial" w:cs="Arial"/>
                <w:bCs/>
                <w:sz w:val="24"/>
                <w:szCs w:val="24"/>
              </w:rPr>
              <w:instrText xml:space="preserve"> AUTONUMLGL  \* Arabic \e </w:instrText>
            </w:r>
            <w:r w:rsidRPr="009A6AA0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221" w:type="dxa"/>
          </w:tcPr>
          <w:p w14:paraId="210E8264" w14:textId="7DEFEFAF" w:rsidR="00295B98" w:rsidRDefault="00295B98" w:rsidP="00295B9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Complete the Continuity Schedule for</w:t>
            </w:r>
            <w:r w:rsidRPr="001B4F54">
              <w:rPr>
                <w:rFonts w:ascii="Arial" w:eastAsia="Times New Roman" w:hAnsi="Arial" w:cs="Arial"/>
                <w:sz w:val="24"/>
                <w:szCs w:val="24"/>
              </w:rPr>
              <w:t xml:space="preserve"> all Account 1595 sub-accounts</w:t>
            </w:r>
            <w:r w:rsidR="0048741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906D87">
              <w:rPr>
                <w:rFonts w:ascii="Arial" w:eastAsia="Times New Roman" w:hAnsi="Arial" w:cs="Arial"/>
                <w:sz w:val="24"/>
                <w:szCs w:val="24"/>
              </w:rPr>
              <w:t xml:space="preserve">that </w:t>
            </w:r>
            <w:r w:rsidR="008E5070">
              <w:rPr>
                <w:rFonts w:ascii="Arial" w:eastAsia="Times New Roman" w:hAnsi="Arial" w:cs="Arial"/>
                <w:sz w:val="24"/>
                <w:szCs w:val="24"/>
              </w:rPr>
              <w:t xml:space="preserve">has a GL balance as </w:t>
            </w:r>
            <w:proofErr w:type="gramStart"/>
            <w:r w:rsidR="008E5070">
              <w:rPr>
                <w:rFonts w:ascii="Arial" w:eastAsia="Times New Roman" w:hAnsi="Arial" w:cs="Arial"/>
                <w:sz w:val="24"/>
                <w:szCs w:val="24"/>
              </w:rPr>
              <w:t>at</w:t>
            </w:r>
            <w:proofErr w:type="gramEnd"/>
            <w:r w:rsidR="008E5070">
              <w:rPr>
                <w:rFonts w:ascii="Arial" w:eastAsia="Times New Roman" w:hAnsi="Arial" w:cs="Arial"/>
                <w:sz w:val="24"/>
                <w:szCs w:val="24"/>
              </w:rPr>
              <w:t xml:space="preserve"> December 31, 202</w:t>
            </w:r>
            <w:r w:rsidR="00EE41B2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8E5070">
              <w:rPr>
                <w:rFonts w:ascii="Arial" w:eastAsia="Times New Roman" w:hAnsi="Arial" w:cs="Arial"/>
                <w:sz w:val="24"/>
                <w:szCs w:val="24"/>
              </w:rPr>
              <w:t xml:space="preserve">, regardless of whether the account is eligible for disposition in the current application, </w:t>
            </w:r>
            <w:r w:rsidR="00487415">
              <w:rPr>
                <w:rFonts w:ascii="Arial" w:eastAsia="Times New Roman" w:hAnsi="Arial" w:cs="Arial"/>
                <w:sz w:val="24"/>
                <w:szCs w:val="24"/>
              </w:rPr>
              <w:t>in the following manner:</w:t>
            </w:r>
          </w:p>
          <w:p w14:paraId="3CB425EB" w14:textId="1D44E7A9" w:rsidR="00295B98" w:rsidRPr="003A13C2" w:rsidRDefault="00295B98" w:rsidP="00295B98">
            <w:pPr>
              <w:pStyle w:val="ListParagraph"/>
              <w:numPr>
                <w:ilvl w:val="0"/>
                <w:numId w:val="80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A13C2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="00744FC8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3A13C2">
              <w:rPr>
                <w:rFonts w:ascii="Arial" w:eastAsia="Times New Roman" w:hAnsi="Arial" w:cs="Arial"/>
                <w:sz w:val="24"/>
                <w:szCs w:val="24"/>
              </w:rPr>
              <w:t xml:space="preserve">ontinuity </w:t>
            </w:r>
            <w:r w:rsidR="00744FC8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3A13C2">
              <w:rPr>
                <w:rFonts w:ascii="Arial" w:eastAsia="Times New Roman" w:hAnsi="Arial" w:cs="Arial"/>
                <w:sz w:val="24"/>
                <w:szCs w:val="24"/>
              </w:rPr>
              <w:t>chedule will open in the year of the earliest Account 1595 vintage year that has a balance. For each Account 1595 sub-</w:t>
            </w:r>
            <w:r w:rsidRPr="003A13C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account, start inputting data from the year the sub-account started to accumulate a balance (</w:t>
            </w:r>
            <w:proofErr w:type="gramStart"/>
            <w:r w:rsidRPr="003A13C2">
              <w:rPr>
                <w:rFonts w:ascii="Arial" w:eastAsia="Times New Roman" w:hAnsi="Arial" w:cs="Arial"/>
                <w:sz w:val="24"/>
                <w:szCs w:val="24"/>
              </w:rPr>
              <w:t>i.e.</w:t>
            </w:r>
            <w:proofErr w:type="gramEnd"/>
            <w:r w:rsidRPr="003A13C2">
              <w:rPr>
                <w:rFonts w:ascii="Arial" w:eastAsia="Times New Roman" w:hAnsi="Arial" w:cs="Arial"/>
                <w:sz w:val="24"/>
                <w:szCs w:val="24"/>
              </w:rPr>
              <w:t xml:space="preserve"> the vintage year). </w:t>
            </w:r>
          </w:p>
          <w:p w14:paraId="1A8DEF28" w14:textId="17F31779" w:rsidR="00534902" w:rsidRDefault="00295B98" w:rsidP="008E5070">
            <w:pPr>
              <w:pStyle w:val="ListParagraph"/>
              <w:numPr>
                <w:ilvl w:val="1"/>
                <w:numId w:val="80"/>
              </w:numPr>
              <w:spacing w:line="276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53490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For example, Account 1595 (2017) would accumulate a balance starting in 2017, when the relevant balances approved for disposition were first transferred into Account 1595 (2017). Input the amount approved for disposition in the OEB Approved Disposition column.</w:t>
            </w:r>
          </w:p>
          <w:p w14:paraId="63D836F3" w14:textId="7777F431" w:rsidR="006C4659" w:rsidRPr="006C4659" w:rsidRDefault="006C4659" w:rsidP="006C4659">
            <w:pPr>
              <w:pStyle w:val="ListParagraph"/>
              <w:numPr>
                <w:ilvl w:val="0"/>
                <w:numId w:val="80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C4659">
              <w:rPr>
                <w:rFonts w:ascii="Arial" w:eastAsia="Times New Roman" w:hAnsi="Arial" w:cs="Arial"/>
                <w:sz w:val="24"/>
                <w:szCs w:val="24"/>
              </w:rPr>
              <w:t xml:space="preserve">For Account 1595 sub-accounts, indicate whether </w:t>
            </w:r>
            <w:r w:rsidR="00E620E3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Pr="006C4659">
              <w:rPr>
                <w:rFonts w:ascii="Arial" w:eastAsia="Times New Roman" w:hAnsi="Arial" w:cs="Arial"/>
                <w:sz w:val="24"/>
                <w:szCs w:val="24"/>
              </w:rPr>
              <w:t>disposition is requested in column BU.</w:t>
            </w:r>
          </w:p>
          <w:p w14:paraId="6EDB1433" w14:textId="77777777" w:rsidR="00295B98" w:rsidRPr="00F05922" w:rsidRDefault="00295B98" w:rsidP="009435E6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70C61" w14:paraId="5F7BF3F9" w14:textId="77777777" w:rsidTr="00FB11C3">
        <w:tc>
          <w:tcPr>
            <w:tcW w:w="1129" w:type="dxa"/>
          </w:tcPr>
          <w:p w14:paraId="1D17272D" w14:textId="2428AF1B" w:rsidR="00D70C61" w:rsidRPr="009A6AA0" w:rsidRDefault="00D70C61" w:rsidP="00FB11C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8221" w:type="dxa"/>
          </w:tcPr>
          <w:p w14:paraId="6768D6EC" w14:textId="5B7AEAA6" w:rsidR="00D70C61" w:rsidRPr="00F90626" w:rsidRDefault="00D70C61" w:rsidP="00D70C61">
            <w:pPr>
              <w:rPr>
                <w:rFonts w:ascii="Arial" w:hAnsi="Arial" w:cs="Arial"/>
                <w:sz w:val="24"/>
                <w:szCs w:val="24"/>
              </w:rPr>
            </w:pPr>
            <w:r w:rsidRPr="00F90626">
              <w:rPr>
                <w:rFonts w:ascii="Arial" w:hAnsi="Arial" w:cs="Arial"/>
                <w:sz w:val="24"/>
                <w:szCs w:val="24"/>
              </w:rPr>
              <w:t xml:space="preserve">Review any balance variance between the DVA </w:t>
            </w:r>
            <w:r w:rsidR="00744FC8">
              <w:rPr>
                <w:rFonts w:ascii="Arial" w:hAnsi="Arial" w:cs="Arial"/>
                <w:sz w:val="24"/>
                <w:szCs w:val="24"/>
              </w:rPr>
              <w:t>C</w:t>
            </w:r>
            <w:r w:rsidRPr="00F90626">
              <w:rPr>
                <w:rFonts w:ascii="Arial" w:hAnsi="Arial" w:cs="Arial"/>
                <w:sz w:val="24"/>
                <w:szCs w:val="24"/>
              </w:rPr>
              <w:t xml:space="preserve">ontinuity </w:t>
            </w:r>
            <w:r w:rsidR="00744FC8">
              <w:rPr>
                <w:rFonts w:ascii="Arial" w:hAnsi="Arial" w:cs="Arial"/>
                <w:sz w:val="24"/>
                <w:szCs w:val="24"/>
              </w:rPr>
              <w:t>S</w:t>
            </w:r>
            <w:r w:rsidRPr="00F90626">
              <w:rPr>
                <w:rFonts w:ascii="Arial" w:hAnsi="Arial" w:cs="Arial"/>
                <w:sz w:val="24"/>
                <w:szCs w:val="24"/>
              </w:rPr>
              <w:t xml:space="preserve">chedule and the RRR in column BW. Provide an explanation in </w:t>
            </w:r>
            <w:r w:rsidR="00601AA1">
              <w:rPr>
                <w:rFonts w:ascii="Arial" w:hAnsi="Arial" w:cs="Arial"/>
                <w:sz w:val="24"/>
                <w:szCs w:val="24"/>
              </w:rPr>
              <w:t>T</w:t>
            </w:r>
            <w:r w:rsidRPr="00F90626">
              <w:rPr>
                <w:rFonts w:ascii="Arial" w:hAnsi="Arial" w:cs="Arial"/>
                <w:sz w:val="24"/>
                <w:szCs w:val="24"/>
              </w:rPr>
              <w:t>ab 3, if necessary.</w:t>
            </w:r>
          </w:p>
          <w:p w14:paraId="1C46B434" w14:textId="77777777" w:rsidR="00D70C61" w:rsidRDefault="00D70C61" w:rsidP="00295B9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CECB797" w14:textId="5E8ED6BE" w:rsidR="00B14CB6" w:rsidRDefault="00B14CB6" w:rsidP="00B14CB6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387CD1D1" w14:textId="68B7CD03" w:rsidR="00CB006C" w:rsidRPr="001C5AE3" w:rsidRDefault="003A13C2" w:rsidP="00150A4B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2B34EE">
        <w:rPr>
          <w:rFonts w:ascii="Arial" w:eastAsia="Times New Roman" w:hAnsi="Arial" w:cs="Arial"/>
          <w:sz w:val="24"/>
          <w:szCs w:val="24"/>
          <w:u w:val="single"/>
        </w:rPr>
        <w:t>Note</w:t>
      </w:r>
      <w:r w:rsidR="00CB006C" w:rsidRPr="002B34EE">
        <w:rPr>
          <w:rFonts w:ascii="Arial" w:eastAsia="Times New Roman" w:hAnsi="Arial" w:cs="Arial"/>
          <w:sz w:val="24"/>
          <w:szCs w:val="24"/>
          <w:u w:val="single"/>
        </w:rPr>
        <w:t>s</w:t>
      </w:r>
      <w:r w:rsidR="00CB006C" w:rsidRPr="001C5AE3">
        <w:rPr>
          <w:rFonts w:ascii="Arial" w:eastAsia="Times New Roman" w:hAnsi="Arial" w:cs="Arial"/>
          <w:sz w:val="24"/>
          <w:szCs w:val="24"/>
        </w:rPr>
        <w:t>:</w:t>
      </w:r>
      <w:r w:rsidRPr="001C5AE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2745E50" w14:textId="22B9EAA3" w:rsidR="003A13C2" w:rsidRPr="00CB006C" w:rsidRDefault="00CB006C" w:rsidP="00576959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="003A13C2" w:rsidRPr="00CB006C">
        <w:rPr>
          <w:rFonts w:ascii="Arial" w:eastAsia="Times New Roman" w:hAnsi="Arial" w:cs="Arial"/>
          <w:sz w:val="24"/>
          <w:szCs w:val="24"/>
        </w:rPr>
        <w:t xml:space="preserve">he DVA </w:t>
      </w:r>
      <w:r w:rsidR="00744FC8">
        <w:rPr>
          <w:rFonts w:ascii="Arial" w:eastAsia="Times New Roman" w:hAnsi="Arial" w:cs="Arial"/>
          <w:sz w:val="24"/>
          <w:szCs w:val="24"/>
        </w:rPr>
        <w:t>C</w:t>
      </w:r>
      <w:r w:rsidR="003A13C2" w:rsidRPr="00CB006C">
        <w:rPr>
          <w:rFonts w:ascii="Arial" w:eastAsia="Times New Roman" w:hAnsi="Arial" w:cs="Arial"/>
          <w:sz w:val="24"/>
          <w:szCs w:val="24"/>
        </w:rPr>
        <w:t xml:space="preserve">ontinuity </w:t>
      </w:r>
      <w:r w:rsidR="00744FC8">
        <w:rPr>
          <w:rFonts w:ascii="Arial" w:eastAsia="Times New Roman" w:hAnsi="Arial" w:cs="Arial"/>
          <w:sz w:val="24"/>
          <w:szCs w:val="24"/>
        </w:rPr>
        <w:t>S</w:t>
      </w:r>
      <w:r w:rsidR="003A13C2" w:rsidRPr="00CB006C">
        <w:rPr>
          <w:rFonts w:ascii="Arial" w:eastAsia="Times New Roman" w:hAnsi="Arial" w:cs="Arial"/>
          <w:sz w:val="24"/>
          <w:szCs w:val="24"/>
        </w:rPr>
        <w:t>chedule currently start</w:t>
      </w:r>
      <w:r w:rsidR="008B188E">
        <w:rPr>
          <w:rFonts w:ascii="Arial" w:eastAsia="Times New Roman" w:hAnsi="Arial" w:cs="Arial"/>
          <w:sz w:val="24"/>
          <w:szCs w:val="24"/>
        </w:rPr>
        <w:t>s</w:t>
      </w:r>
      <w:r w:rsidR="003A13C2" w:rsidRPr="00CB006C">
        <w:rPr>
          <w:rFonts w:ascii="Arial" w:eastAsia="Times New Roman" w:hAnsi="Arial" w:cs="Arial"/>
          <w:sz w:val="24"/>
          <w:szCs w:val="24"/>
        </w:rPr>
        <w:t xml:space="preserve"> from </w:t>
      </w:r>
      <w:r w:rsidR="008B188E">
        <w:rPr>
          <w:rFonts w:ascii="Arial" w:eastAsia="Times New Roman" w:hAnsi="Arial" w:cs="Arial"/>
          <w:sz w:val="24"/>
          <w:szCs w:val="24"/>
        </w:rPr>
        <w:t xml:space="preserve">the year </w:t>
      </w:r>
      <w:r w:rsidR="003A13C2" w:rsidRPr="00CB006C">
        <w:rPr>
          <w:rFonts w:ascii="Arial" w:eastAsia="Times New Roman" w:hAnsi="Arial" w:cs="Arial"/>
          <w:sz w:val="24"/>
          <w:szCs w:val="24"/>
        </w:rPr>
        <w:t>201</w:t>
      </w:r>
      <w:r w:rsidR="00EE41B2">
        <w:rPr>
          <w:rFonts w:ascii="Arial" w:eastAsia="Times New Roman" w:hAnsi="Arial" w:cs="Arial"/>
          <w:sz w:val="24"/>
          <w:szCs w:val="24"/>
        </w:rPr>
        <w:t>7</w:t>
      </w:r>
      <w:r w:rsidR="003A13C2" w:rsidRPr="00CB006C">
        <w:rPr>
          <w:rFonts w:ascii="Arial" w:eastAsia="Times New Roman" w:hAnsi="Arial" w:cs="Arial"/>
          <w:sz w:val="24"/>
          <w:szCs w:val="24"/>
        </w:rPr>
        <w:t xml:space="preserve">. If a </w:t>
      </w:r>
      <w:r w:rsidR="00BA14CE">
        <w:rPr>
          <w:rFonts w:ascii="Arial" w:eastAsia="Times New Roman" w:hAnsi="Arial" w:cs="Arial"/>
          <w:sz w:val="24"/>
          <w:szCs w:val="24"/>
        </w:rPr>
        <w:t>distributor</w:t>
      </w:r>
      <w:r w:rsidR="003A13C2" w:rsidRPr="00CB006C">
        <w:rPr>
          <w:rFonts w:ascii="Arial" w:eastAsia="Times New Roman" w:hAnsi="Arial" w:cs="Arial"/>
          <w:sz w:val="24"/>
          <w:szCs w:val="24"/>
        </w:rPr>
        <w:t xml:space="preserve"> has</w:t>
      </w:r>
      <w:r w:rsidR="005C28A7">
        <w:rPr>
          <w:rFonts w:ascii="Arial" w:eastAsia="Times New Roman" w:hAnsi="Arial" w:cs="Arial"/>
          <w:sz w:val="24"/>
          <w:szCs w:val="24"/>
        </w:rPr>
        <w:t xml:space="preserve"> a</w:t>
      </w:r>
      <w:r w:rsidR="003A13C2" w:rsidRPr="00CB006C">
        <w:rPr>
          <w:rFonts w:ascii="Arial" w:eastAsia="Times New Roman" w:hAnsi="Arial" w:cs="Arial"/>
          <w:sz w:val="24"/>
          <w:szCs w:val="24"/>
        </w:rPr>
        <w:t xml:space="preserve"> residual balance in an</w:t>
      </w:r>
      <w:r w:rsidR="00CE06D9">
        <w:rPr>
          <w:rFonts w:ascii="Arial" w:eastAsia="Times New Roman" w:hAnsi="Arial" w:cs="Arial"/>
          <w:sz w:val="24"/>
          <w:szCs w:val="24"/>
        </w:rPr>
        <w:t xml:space="preserve">y </w:t>
      </w:r>
      <w:r w:rsidR="00CE06D9" w:rsidRPr="00CB006C">
        <w:rPr>
          <w:rFonts w:ascii="Arial" w:eastAsia="Times New Roman" w:hAnsi="Arial" w:cs="Arial"/>
          <w:sz w:val="24"/>
          <w:szCs w:val="24"/>
        </w:rPr>
        <w:t>vintage year</w:t>
      </w:r>
      <w:r w:rsidR="00CE06D9">
        <w:rPr>
          <w:rFonts w:ascii="Arial" w:eastAsia="Times New Roman" w:hAnsi="Arial" w:cs="Arial"/>
          <w:sz w:val="24"/>
          <w:szCs w:val="24"/>
        </w:rPr>
        <w:t xml:space="preserve"> sub-account under</w:t>
      </w:r>
      <w:r w:rsidR="00CE06D9" w:rsidRPr="00CB006C">
        <w:rPr>
          <w:rFonts w:ascii="Arial" w:eastAsia="Times New Roman" w:hAnsi="Arial" w:cs="Arial"/>
          <w:sz w:val="24"/>
          <w:szCs w:val="24"/>
        </w:rPr>
        <w:t xml:space="preserve"> </w:t>
      </w:r>
      <w:r w:rsidR="003A13C2" w:rsidRPr="00CB006C">
        <w:rPr>
          <w:rFonts w:ascii="Arial" w:eastAsia="Times New Roman" w:hAnsi="Arial" w:cs="Arial"/>
          <w:sz w:val="24"/>
          <w:szCs w:val="24"/>
        </w:rPr>
        <w:t>Account 1595 prior to 201</w:t>
      </w:r>
      <w:r w:rsidR="00EE41B2">
        <w:rPr>
          <w:rFonts w:ascii="Arial" w:eastAsia="Times New Roman" w:hAnsi="Arial" w:cs="Arial"/>
          <w:sz w:val="24"/>
          <w:szCs w:val="24"/>
        </w:rPr>
        <w:t>7</w:t>
      </w:r>
      <w:r w:rsidR="003A13C2" w:rsidRPr="00CB006C">
        <w:rPr>
          <w:rFonts w:ascii="Arial" w:eastAsia="Times New Roman" w:hAnsi="Arial" w:cs="Arial"/>
          <w:sz w:val="24"/>
          <w:szCs w:val="24"/>
        </w:rPr>
        <w:t xml:space="preserve">, </w:t>
      </w:r>
      <w:r w:rsidR="00CE06D9">
        <w:rPr>
          <w:rFonts w:ascii="Arial" w:eastAsia="Times New Roman" w:hAnsi="Arial" w:cs="Arial"/>
          <w:sz w:val="24"/>
          <w:szCs w:val="24"/>
        </w:rPr>
        <w:t xml:space="preserve">the </w:t>
      </w:r>
      <w:r w:rsidR="00BA14CE">
        <w:rPr>
          <w:rFonts w:ascii="Arial" w:eastAsia="Times New Roman" w:hAnsi="Arial" w:cs="Arial"/>
          <w:sz w:val="24"/>
          <w:szCs w:val="24"/>
        </w:rPr>
        <w:t>distributor</w:t>
      </w:r>
      <w:r w:rsidR="00CE06D9">
        <w:rPr>
          <w:rFonts w:ascii="Arial" w:eastAsia="Times New Roman" w:hAnsi="Arial" w:cs="Arial"/>
          <w:sz w:val="24"/>
          <w:szCs w:val="24"/>
        </w:rPr>
        <w:t xml:space="preserve"> should </w:t>
      </w:r>
      <w:r w:rsidR="003A13C2" w:rsidRPr="00CB006C">
        <w:rPr>
          <w:rFonts w:ascii="Arial" w:eastAsia="Times New Roman" w:hAnsi="Arial" w:cs="Arial"/>
          <w:sz w:val="24"/>
          <w:szCs w:val="24"/>
        </w:rPr>
        <w:t xml:space="preserve">include </w:t>
      </w:r>
      <w:r w:rsidR="002D7016">
        <w:rPr>
          <w:rFonts w:ascii="Arial" w:eastAsia="Times New Roman" w:hAnsi="Arial" w:cs="Arial"/>
          <w:sz w:val="24"/>
          <w:szCs w:val="24"/>
        </w:rPr>
        <w:t xml:space="preserve">the </w:t>
      </w:r>
      <w:r w:rsidR="003A13C2" w:rsidRPr="00CB006C">
        <w:rPr>
          <w:rFonts w:ascii="Arial" w:eastAsia="Times New Roman" w:hAnsi="Arial" w:cs="Arial"/>
          <w:sz w:val="24"/>
          <w:szCs w:val="24"/>
        </w:rPr>
        <w:t>residual balances for years up to 201</w:t>
      </w:r>
      <w:r w:rsidR="00EE41B2">
        <w:rPr>
          <w:rFonts w:ascii="Arial" w:eastAsia="Times New Roman" w:hAnsi="Arial" w:cs="Arial"/>
          <w:sz w:val="24"/>
          <w:szCs w:val="24"/>
        </w:rPr>
        <w:t>7</w:t>
      </w:r>
      <w:r w:rsidR="003A13C2" w:rsidRPr="00CB006C">
        <w:rPr>
          <w:rFonts w:ascii="Arial" w:eastAsia="Times New Roman" w:hAnsi="Arial" w:cs="Arial"/>
          <w:sz w:val="24"/>
          <w:szCs w:val="24"/>
        </w:rPr>
        <w:t xml:space="preserve"> in the row for Account 1595 (201</w:t>
      </w:r>
      <w:r w:rsidR="006A3D86">
        <w:rPr>
          <w:rFonts w:ascii="Arial" w:eastAsia="Times New Roman" w:hAnsi="Arial" w:cs="Arial"/>
          <w:sz w:val="24"/>
          <w:szCs w:val="24"/>
        </w:rPr>
        <w:t>7</w:t>
      </w:r>
      <w:r w:rsidR="003A13C2" w:rsidRPr="00CB006C">
        <w:rPr>
          <w:rFonts w:ascii="Arial" w:eastAsia="Times New Roman" w:hAnsi="Arial" w:cs="Arial"/>
          <w:sz w:val="24"/>
          <w:szCs w:val="24"/>
        </w:rPr>
        <w:t xml:space="preserve"> and pre-201</w:t>
      </w:r>
      <w:r w:rsidR="00EE41B2">
        <w:rPr>
          <w:rFonts w:ascii="Arial" w:eastAsia="Times New Roman" w:hAnsi="Arial" w:cs="Arial"/>
          <w:sz w:val="24"/>
          <w:szCs w:val="24"/>
        </w:rPr>
        <w:t>7</w:t>
      </w:r>
      <w:r w:rsidR="003A13C2" w:rsidRPr="00CB006C">
        <w:rPr>
          <w:rFonts w:ascii="Arial" w:eastAsia="Times New Roman" w:hAnsi="Arial" w:cs="Arial"/>
          <w:sz w:val="24"/>
          <w:szCs w:val="24"/>
        </w:rPr>
        <w:t>) and provide a separate schedule with amounts broken down by vintage year.</w:t>
      </w:r>
    </w:p>
    <w:p w14:paraId="00CD8164" w14:textId="64732101" w:rsidR="001C5AE3" w:rsidRDefault="001C5AE3" w:rsidP="00576959">
      <w:pPr>
        <w:spacing w:after="0" w:line="276" w:lineRule="auto"/>
        <w:contextualSpacing/>
      </w:pPr>
    </w:p>
    <w:p w14:paraId="23603595" w14:textId="4A699D8F" w:rsidR="007747A9" w:rsidRDefault="007747A9" w:rsidP="00576959">
      <w:pPr>
        <w:pStyle w:val="BodyText"/>
        <w:spacing w:after="0"/>
        <w:contextualSpacing/>
      </w:pPr>
      <w:bookmarkStart w:id="0" w:name="_Hlk74672692"/>
      <w:r>
        <w:t>For the disposition of A</w:t>
      </w:r>
      <w:r w:rsidRPr="002365AC">
        <w:t>ccount</w:t>
      </w:r>
      <w:r w:rsidRPr="002365AC">
        <w:rPr>
          <w:spacing w:val="-1"/>
        </w:rPr>
        <w:t xml:space="preserve"> 1</w:t>
      </w:r>
      <w:r w:rsidRPr="002365AC">
        <w:t>580</w:t>
      </w:r>
      <w:r>
        <w:t>,</w:t>
      </w:r>
      <w:r w:rsidRPr="002365AC">
        <w:t xml:space="preserve"> </w:t>
      </w:r>
      <w:r w:rsidR="00DE6DCD">
        <w:rPr>
          <w:spacing w:val="-2"/>
        </w:rPr>
        <w:t>S</w:t>
      </w:r>
      <w:r w:rsidRPr="002365AC">
        <w:t>ub-acco</w:t>
      </w:r>
      <w:r w:rsidRPr="002365AC">
        <w:rPr>
          <w:spacing w:val="-1"/>
        </w:rPr>
        <w:t>u</w:t>
      </w:r>
      <w:r w:rsidRPr="002365AC">
        <w:t>nt CBR Class A</w:t>
      </w:r>
      <w:r>
        <w:t xml:space="preserve">, distributors must follow the </w:t>
      </w:r>
      <w:r w:rsidRPr="00A96ABB">
        <w:t>O</w:t>
      </w:r>
      <w:r w:rsidRPr="00A96ABB">
        <w:rPr>
          <w:spacing w:val="-2"/>
        </w:rPr>
        <w:t>E</w:t>
      </w:r>
      <w:r w:rsidRPr="00A96ABB">
        <w:t xml:space="preserve">B’s </w:t>
      </w:r>
      <w:r>
        <w:t xml:space="preserve">CBR </w:t>
      </w:r>
      <w:r w:rsidRPr="007965FE">
        <w:t>acc</w:t>
      </w:r>
      <w:r w:rsidRPr="007965FE">
        <w:rPr>
          <w:spacing w:val="-1"/>
        </w:rPr>
        <w:t>o</w:t>
      </w:r>
      <w:r w:rsidRPr="007965FE">
        <w:t>unting</w:t>
      </w:r>
      <w:r w:rsidRPr="007965FE">
        <w:rPr>
          <w:spacing w:val="-1"/>
        </w:rPr>
        <w:t xml:space="preserve"> g</w:t>
      </w:r>
      <w:r w:rsidRPr="007965FE">
        <w:t>uidan</w:t>
      </w:r>
      <w:r w:rsidRPr="007965FE">
        <w:rPr>
          <w:spacing w:val="-2"/>
        </w:rPr>
        <w:t>c</w:t>
      </w:r>
      <w:r w:rsidRPr="007965FE">
        <w:t>e</w:t>
      </w:r>
      <w:r>
        <w:t>,</w:t>
      </w:r>
      <w:r w:rsidR="00D65594">
        <w:rPr>
          <w:rStyle w:val="FootnoteReference"/>
        </w:rPr>
        <w:footnoteReference w:id="1"/>
      </w:r>
      <w:r>
        <w:t xml:space="preserve"> which results in balances disposed outside of a rate proceeding</w:t>
      </w:r>
      <w:r w:rsidRPr="007965FE">
        <w:t xml:space="preserve">. </w:t>
      </w:r>
    </w:p>
    <w:bookmarkEnd w:id="0"/>
    <w:p w14:paraId="2FC60871" w14:textId="77777777" w:rsidR="007747A9" w:rsidRDefault="007747A9"/>
    <w:p w14:paraId="66E98CA7" w14:textId="59141BDC" w:rsidR="001C5AE3" w:rsidRDefault="001C5AE3" w:rsidP="005A14E7">
      <w:pPr>
        <w:pStyle w:val="Heading3"/>
        <w:spacing w:after="100" w:afterAutospacing="1"/>
        <w:rPr>
          <w:rFonts w:ascii="Cambria" w:eastAsia="Times New Roman" w:hAnsi="Cambria" w:cs="Arial"/>
          <w:b/>
          <w:bCs/>
          <w:sz w:val="28"/>
          <w:szCs w:val="28"/>
          <w:u w:val="single"/>
        </w:rPr>
      </w:pP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>Tab 2</w:t>
      </w:r>
      <w:r>
        <w:rPr>
          <w:rFonts w:ascii="Cambria" w:eastAsia="Times New Roman" w:hAnsi="Cambria" w:cs="Arial"/>
          <w:b/>
          <w:bCs/>
          <w:sz w:val="28"/>
          <w:szCs w:val="28"/>
          <w:u w:val="single"/>
        </w:rPr>
        <w:t>b</w:t>
      </w: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 – Continuity Schedule</w:t>
      </w:r>
      <w:r w:rsidR="000D5CA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 for Group 2</w:t>
      </w:r>
    </w:p>
    <w:p w14:paraId="737DA51B" w14:textId="6AD125DB" w:rsidR="00D560C4" w:rsidRDefault="00D560C4" w:rsidP="00B15845">
      <w:pPr>
        <w:spacing w:after="0"/>
        <w:rPr>
          <w:rFonts w:ascii="Arial" w:hAnsi="Arial" w:cs="Arial"/>
          <w:sz w:val="24"/>
          <w:szCs w:val="24"/>
        </w:rPr>
      </w:pPr>
      <w:r w:rsidRPr="00405C9C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is</w:t>
      </w:r>
      <w:r w:rsidRPr="00405C9C">
        <w:rPr>
          <w:rFonts w:ascii="Arial" w:hAnsi="Arial" w:cs="Arial"/>
          <w:sz w:val="24"/>
          <w:szCs w:val="24"/>
        </w:rPr>
        <w:t xml:space="preserve"> tab </w:t>
      </w:r>
      <w:r>
        <w:rPr>
          <w:rFonts w:ascii="Arial" w:hAnsi="Arial" w:cs="Arial"/>
          <w:sz w:val="24"/>
          <w:szCs w:val="24"/>
        </w:rPr>
        <w:t>is</w:t>
      </w:r>
      <w:r w:rsidRPr="00405C9C">
        <w:rPr>
          <w:rFonts w:ascii="Arial" w:hAnsi="Arial" w:cs="Arial"/>
          <w:sz w:val="24"/>
          <w:szCs w:val="24"/>
        </w:rPr>
        <w:t xml:space="preserve"> the </w:t>
      </w:r>
      <w:r>
        <w:rPr>
          <w:rFonts w:ascii="Arial" w:hAnsi="Arial" w:cs="Arial"/>
          <w:sz w:val="24"/>
          <w:szCs w:val="24"/>
        </w:rPr>
        <w:t>Group 2 accounts C</w:t>
      </w:r>
      <w:r w:rsidRPr="00405C9C">
        <w:rPr>
          <w:rFonts w:ascii="Arial" w:hAnsi="Arial" w:cs="Arial"/>
          <w:sz w:val="24"/>
          <w:szCs w:val="24"/>
        </w:rPr>
        <w:t xml:space="preserve">ontinuity </w:t>
      </w:r>
      <w:r>
        <w:rPr>
          <w:rFonts w:ascii="Arial" w:hAnsi="Arial" w:cs="Arial"/>
          <w:sz w:val="24"/>
          <w:szCs w:val="24"/>
        </w:rPr>
        <w:t>S</w:t>
      </w:r>
      <w:r w:rsidRPr="00405C9C">
        <w:rPr>
          <w:rFonts w:ascii="Arial" w:hAnsi="Arial" w:cs="Arial"/>
          <w:sz w:val="24"/>
          <w:szCs w:val="24"/>
        </w:rPr>
        <w:t>chedule that show</w:t>
      </w:r>
      <w:r w:rsidR="00F97740">
        <w:rPr>
          <w:rFonts w:ascii="Arial" w:hAnsi="Arial" w:cs="Arial"/>
          <w:sz w:val="24"/>
          <w:szCs w:val="24"/>
        </w:rPr>
        <w:t>s</w:t>
      </w:r>
      <w:r w:rsidRPr="00405C9C">
        <w:rPr>
          <w:rFonts w:ascii="Arial" w:hAnsi="Arial" w:cs="Arial"/>
          <w:sz w:val="24"/>
          <w:szCs w:val="24"/>
        </w:rPr>
        <w:t xml:space="preserve"> all </w:t>
      </w:r>
      <w:r w:rsidR="00F97740">
        <w:rPr>
          <w:rFonts w:ascii="Arial" w:hAnsi="Arial" w:cs="Arial"/>
          <w:sz w:val="24"/>
          <w:szCs w:val="24"/>
        </w:rPr>
        <w:t>Group 2</w:t>
      </w:r>
      <w:r w:rsidRPr="00405C9C">
        <w:rPr>
          <w:rFonts w:ascii="Arial" w:hAnsi="Arial" w:cs="Arial"/>
          <w:sz w:val="24"/>
          <w:szCs w:val="24"/>
        </w:rPr>
        <w:t xml:space="preserve"> accounts and the accumulation of the balances </w:t>
      </w:r>
      <w:r w:rsidR="005A09FE">
        <w:rPr>
          <w:rFonts w:ascii="Arial" w:hAnsi="Arial" w:cs="Arial"/>
          <w:sz w:val="24"/>
          <w:szCs w:val="24"/>
        </w:rPr>
        <w:t>for these accounts</w:t>
      </w:r>
      <w:r>
        <w:rPr>
          <w:rFonts w:ascii="Arial" w:hAnsi="Arial" w:cs="Arial"/>
          <w:sz w:val="24"/>
          <w:szCs w:val="24"/>
        </w:rPr>
        <w:t>.</w:t>
      </w:r>
    </w:p>
    <w:p w14:paraId="7CD0F4F8" w14:textId="77777777" w:rsidR="00B15845" w:rsidRPr="00D560C4" w:rsidRDefault="00B15845" w:rsidP="00B1584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779E9" w14:paraId="55A2FA60" w14:textId="77777777" w:rsidTr="00FB11C3">
        <w:tc>
          <w:tcPr>
            <w:tcW w:w="1129" w:type="dxa"/>
          </w:tcPr>
          <w:p w14:paraId="6A2D2840" w14:textId="77777777" w:rsidR="007779E9" w:rsidRPr="001C1DD5" w:rsidRDefault="007779E9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Step #</w:t>
            </w:r>
          </w:p>
        </w:tc>
        <w:tc>
          <w:tcPr>
            <w:tcW w:w="8221" w:type="dxa"/>
          </w:tcPr>
          <w:p w14:paraId="616E0AD8" w14:textId="77777777" w:rsidR="007779E9" w:rsidRPr="001C1DD5" w:rsidRDefault="007779E9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Instruction</w:t>
            </w:r>
          </w:p>
        </w:tc>
      </w:tr>
      <w:tr w:rsidR="007779E9" w14:paraId="639C4DED" w14:textId="77777777" w:rsidTr="00FB11C3">
        <w:tc>
          <w:tcPr>
            <w:tcW w:w="1129" w:type="dxa"/>
          </w:tcPr>
          <w:p w14:paraId="0D07405C" w14:textId="74A62B15" w:rsidR="007779E9" w:rsidRDefault="00D70C61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14:paraId="686C2304" w14:textId="5AF446F3" w:rsidR="007779E9" w:rsidRDefault="007779E9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CCF33C7" w14:textId="4D58DE2E" w:rsidR="007779E9" w:rsidRDefault="007779E9" w:rsidP="007779E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779E9">
              <w:rPr>
                <w:rFonts w:ascii="Arial" w:eastAsia="Times New Roman" w:hAnsi="Arial" w:cs="Arial"/>
                <w:sz w:val="24"/>
                <w:szCs w:val="24"/>
              </w:rPr>
              <w:t>Complete the Continuity Schedule for Group 2 accounts.</w:t>
            </w:r>
          </w:p>
          <w:p w14:paraId="1EBD716A" w14:textId="01A981BB" w:rsidR="007779E9" w:rsidRPr="0090499F" w:rsidRDefault="007779E9" w:rsidP="0090499F">
            <w:pPr>
              <w:pStyle w:val="ListParagraph"/>
              <w:numPr>
                <w:ilvl w:val="0"/>
                <w:numId w:val="80"/>
              </w:num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0499F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="00744FC8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90499F">
              <w:rPr>
                <w:rFonts w:ascii="Arial" w:eastAsia="Times New Roman" w:hAnsi="Arial" w:cs="Arial"/>
                <w:sz w:val="24"/>
                <w:szCs w:val="24"/>
              </w:rPr>
              <w:t xml:space="preserve">ontinuity </w:t>
            </w:r>
            <w:r w:rsidR="00744FC8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90499F">
              <w:rPr>
                <w:rFonts w:ascii="Arial" w:eastAsia="Times New Roman" w:hAnsi="Arial" w:cs="Arial"/>
                <w:sz w:val="24"/>
                <w:szCs w:val="24"/>
              </w:rPr>
              <w:t xml:space="preserve">chedule will open from the earlier of </w:t>
            </w:r>
            <w:proofErr w:type="spellStart"/>
            <w:r w:rsidRPr="0090499F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Pr="0090499F">
              <w:rPr>
                <w:rFonts w:ascii="Arial" w:eastAsia="Times New Roman" w:hAnsi="Arial" w:cs="Arial"/>
                <w:sz w:val="24"/>
                <w:szCs w:val="24"/>
              </w:rPr>
              <w:t>) the year the GL balance was last disposed</w:t>
            </w:r>
            <w:r w:rsidR="007E20C3">
              <w:rPr>
                <w:rFonts w:ascii="Arial" w:eastAsia="Times New Roman" w:hAnsi="Arial" w:cs="Arial"/>
                <w:sz w:val="24"/>
                <w:szCs w:val="24"/>
              </w:rPr>
              <w:t xml:space="preserve"> of</w:t>
            </w:r>
            <w:r w:rsidRPr="0090499F">
              <w:rPr>
                <w:rFonts w:ascii="Arial" w:eastAsia="Times New Roman" w:hAnsi="Arial" w:cs="Arial"/>
                <w:sz w:val="24"/>
                <w:szCs w:val="24"/>
              </w:rPr>
              <w:t>, or ii) the earliest year in which balances started to accumulate. Start inputting approved ending balances in the Adjustment columns of that year.</w:t>
            </w:r>
          </w:p>
          <w:p w14:paraId="64B4B8B6" w14:textId="55E925E8" w:rsidR="007779E9" w:rsidRPr="00150A4B" w:rsidRDefault="007779E9" w:rsidP="007779E9">
            <w:pPr>
              <w:pStyle w:val="ListParagraph"/>
              <w:numPr>
                <w:ilvl w:val="0"/>
                <w:numId w:val="85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50A4B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For example, if in the 201</w:t>
            </w:r>
            <w:r w:rsidR="00E81AE4">
              <w:rPr>
                <w:rFonts w:ascii="Arial" w:hAnsi="Arial" w:cs="Arial"/>
                <w:i/>
                <w:iCs/>
                <w:sz w:val="24"/>
                <w:szCs w:val="24"/>
              </w:rPr>
              <w:t>9</w:t>
            </w:r>
            <w:r w:rsidRPr="00150A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rebasing rate application, DVA balances as </w:t>
            </w:r>
            <w:proofErr w:type="gramStart"/>
            <w:r w:rsidRPr="00150A4B">
              <w:rPr>
                <w:rFonts w:ascii="Arial" w:hAnsi="Arial" w:cs="Arial"/>
                <w:i/>
                <w:iCs/>
                <w:sz w:val="24"/>
                <w:szCs w:val="24"/>
              </w:rPr>
              <w:t>at</w:t>
            </w:r>
            <w:proofErr w:type="gramEnd"/>
            <w:r w:rsidRPr="00150A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December 13, 201</w:t>
            </w:r>
            <w:r w:rsidR="00B47D03">
              <w:rPr>
                <w:rFonts w:ascii="Arial" w:hAnsi="Arial" w:cs="Arial"/>
                <w:i/>
                <w:iCs/>
                <w:sz w:val="24"/>
                <w:szCs w:val="24"/>
              </w:rPr>
              <w:t>7</w:t>
            </w:r>
            <w:r w:rsidR="00C055BB">
              <w:rPr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 w:rsidRPr="00150A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were approved for disposition, the </w:t>
            </w:r>
            <w:r w:rsidR="00744FC8">
              <w:rPr>
                <w:rFonts w:ascii="Arial" w:hAnsi="Arial" w:cs="Arial"/>
                <w:i/>
                <w:iCs/>
                <w:sz w:val="24"/>
                <w:szCs w:val="24"/>
              </w:rPr>
              <w:t>C</w:t>
            </w:r>
            <w:r w:rsidRPr="00150A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ontinuity </w:t>
            </w:r>
            <w:r w:rsidR="00744FC8">
              <w:rPr>
                <w:rFonts w:ascii="Arial" w:hAnsi="Arial" w:cs="Arial"/>
                <w:i/>
                <w:iCs/>
                <w:sz w:val="24"/>
                <w:szCs w:val="24"/>
              </w:rPr>
              <w:t>S</w:t>
            </w:r>
            <w:r w:rsidRPr="00150A4B">
              <w:rPr>
                <w:rFonts w:ascii="Arial" w:hAnsi="Arial" w:cs="Arial"/>
                <w:i/>
                <w:iCs/>
                <w:sz w:val="24"/>
                <w:szCs w:val="24"/>
              </w:rPr>
              <w:t>chedule will commence from 201</w:t>
            </w:r>
            <w:r w:rsidR="00B47D03">
              <w:rPr>
                <w:rFonts w:ascii="Arial" w:hAnsi="Arial" w:cs="Arial"/>
                <w:i/>
                <w:iCs/>
                <w:sz w:val="24"/>
                <w:szCs w:val="24"/>
              </w:rPr>
              <w:t>7</w:t>
            </w:r>
            <w:r w:rsidRPr="00150A4B">
              <w:rPr>
                <w:rFonts w:ascii="Arial" w:hAnsi="Arial" w:cs="Arial"/>
                <w:i/>
                <w:iCs/>
                <w:sz w:val="24"/>
                <w:szCs w:val="24"/>
              </w:rPr>
              <w:t>. Start by inputting the approved closing 201</w:t>
            </w:r>
            <w:r w:rsidR="00B47D03">
              <w:rPr>
                <w:rFonts w:ascii="Arial" w:hAnsi="Arial" w:cs="Arial"/>
                <w:i/>
                <w:iCs/>
                <w:sz w:val="24"/>
                <w:szCs w:val="24"/>
              </w:rPr>
              <w:t>7</w:t>
            </w:r>
            <w:r w:rsidRPr="00150A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balances in the Adjustments column under 201</w:t>
            </w:r>
            <w:r w:rsidR="00B47D03">
              <w:rPr>
                <w:rFonts w:ascii="Arial" w:hAnsi="Arial" w:cs="Arial"/>
                <w:i/>
                <w:iCs/>
                <w:sz w:val="24"/>
                <w:szCs w:val="24"/>
              </w:rPr>
              <w:t>7</w:t>
            </w:r>
            <w:r w:rsidRPr="00150A4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for the applicable accounts.</w:t>
            </w:r>
          </w:p>
          <w:p w14:paraId="1788511C" w14:textId="6E6551B7" w:rsidR="007779E9" w:rsidRDefault="007779E9" w:rsidP="00FB11C3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0499F" w14:paraId="6D85A435" w14:textId="77777777" w:rsidTr="00FB11C3">
        <w:tc>
          <w:tcPr>
            <w:tcW w:w="1129" w:type="dxa"/>
          </w:tcPr>
          <w:p w14:paraId="31024BF3" w14:textId="25CFAD75" w:rsidR="0090499F" w:rsidRDefault="00D70C61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8221" w:type="dxa"/>
          </w:tcPr>
          <w:p w14:paraId="412E1B72" w14:textId="363D6036" w:rsidR="00F90626" w:rsidRPr="00F90626" w:rsidRDefault="00F90626" w:rsidP="00F90626">
            <w:pPr>
              <w:rPr>
                <w:rFonts w:ascii="Arial" w:hAnsi="Arial" w:cs="Arial"/>
                <w:sz w:val="24"/>
                <w:szCs w:val="24"/>
              </w:rPr>
            </w:pPr>
            <w:r w:rsidRPr="00F90626">
              <w:rPr>
                <w:rFonts w:ascii="Arial" w:hAnsi="Arial" w:cs="Arial"/>
                <w:sz w:val="24"/>
                <w:szCs w:val="24"/>
              </w:rPr>
              <w:t xml:space="preserve">Enter the number of </w:t>
            </w:r>
            <w:r w:rsidR="00BA14CE">
              <w:rPr>
                <w:rFonts w:ascii="Arial" w:hAnsi="Arial" w:cs="Arial"/>
                <w:sz w:val="24"/>
                <w:szCs w:val="24"/>
              </w:rPr>
              <w:t>distributor</w:t>
            </w:r>
            <w:r w:rsidRPr="00F90626">
              <w:rPr>
                <w:rFonts w:ascii="Arial" w:hAnsi="Arial" w:cs="Arial"/>
                <w:sz w:val="24"/>
                <w:szCs w:val="24"/>
              </w:rPr>
              <w:t xml:space="preserve">-specific 1508 sub-accounts that are approved for the </w:t>
            </w:r>
            <w:r w:rsidR="00BA14CE">
              <w:rPr>
                <w:rFonts w:ascii="Arial" w:hAnsi="Arial" w:cs="Arial"/>
                <w:sz w:val="24"/>
                <w:szCs w:val="24"/>
              </w:rPr>
              <w:t>distributor</w:t>
            </w:r>
            <w:r w:rsidRPr="00F90626">
              <w:rPr>
                <w:rFonts w:ascii="Arial" w:hAnsi="Arial" w:cs="Arial"/>
                <w:sz w:val="24"/>
                <w:szCs w:val="24"/>
              </w:rPr>
              <w:t xml:space="preserve"> in the drop</w:t>
            </w:r>
            <w:r w:rsidR="001167A2">
              <w:rPr>
                <w:rFonts w:ascii="Arial" w:hAnsi="Arial" w:cs="Arial"/>
                <w:sz w:val="24"/>
                <w:szCs w:val="24"/>
              </w:rPr>
              <w:t>-</w:t>
            </w:r>
            <w:r w:rsidRPr="00F90626">
              <w:rPr>
                <w:rFonts w:ascii="Arial" w:hAnsi="Arial" w:cs="Arial"/>
                <w:sz w:val="24"/>
                <w:szCs w:val="24"/>
              </w:rPr>
              <w:t xml:space="preserve">down box in column B. The DVA </w:t>
            </w:r>
            <w:r w:rsidR="00744FC8">
              <w:rPr>
                <w:rFonts w:ascii="Arial" w:hAnsi="Arial" w:cs="Arial"/>
                <w:sz w:val="24"/>
                <w:szCs w:val="24"/>
              </w:rPr>
              <w:t>C</w:t>
            </w:r>
            <w:r w:rsidRPr="00F90626">
              <w:rPr>
                <w:rFonts w:ascii="Arial" w:hAnsi="Arial" w:cs="Arial"/>
                <w:sz w:val="24"/>
                <w:szCs w:val="24"/>
              </w:rPr>
              <w:t xml:space="preserve">ontinuity </w:t>
            </w:r>
            <w:r w:rsidR="00744FC8">
              <w:rPr>
                <w:rFonts w:ascii="Arial" w:hAnsi="Arial" w:cs="Arial"/>
                <w:sz w:val="24"/>
                <w:szCs w:val="24"/>
              </w:rPr>
              <w:t>S</w:t>
            </w:r>
            <w:r w:rsidRPr="00F90626">
              <w:rPr>
                <w:rFonts w:ascii="Arial" w:hAnsi="Arial" w:cs="Arial"/>
                <w:sz w:val="24"/>
                <w:szCs w:val="24"/>
              </w:rPr>
              <w:t xml:space="preserve">chedule will generate the number of </w:t>
            </w:r>
            <w:r w:rsidR="00BA14CE">
              <w:rPr>
                <w:rFonts w:ascii="Arial" w:hAnsi="Arial" w:cs="Arial"/>
                <w:sz w:val="24"/>
                <w:szCs w:val="24"/>
              </w:rPr>
              <w:t>distributor</w:t>
            </w:r>
            <w:r w:rsidRPr="00F90626">
              <w:rPr>
                <w:rFonts w:ascii="Arial" w:hAnsi="Arial" w:cs="Arial"/>
                <w:sz w:val="24"/>
                <w:szCs w:val="24"/>
              </w:rPr>
              <w:t>-specific 1508 sub-accounts. Input the name and the balances of the sub-account(s).</w:t>
            </w:r>
          </w:p>
          <w:p w14:paraId="40288511" w14:textId="77777777" w:rsidR="0090499F" w:rsidRPr="007779E9" w:rsidRDefault="0090499F" w:rsidP="007779E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90626" w14:paraId="1078405E" w14:textId="77777777" w:rsidTr="00FB11C3">
        <w:tc>
          <w:tcPr>
            <w:tcW w:w="1129" w:type="dxa"/>
          </w:tcPr>
          <w:p w14:paraId="0F6B94A9" w14:textId="1B06E6C2" w:rsidR="00F90626" w:rsidRDefault="00D70C61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14:paraId="57C1038A" w14:textId="72CF63C2" w:rsidR="00F90626" w:rsidRPr="00F90626" w:rsidRDefault="00F90626" w:rsidP="00F90626">
            <w:pPr>
              <w:rPr>
                <w:rFonts w:ascii="Arial" w:hAnsi="Arial" w:cs="Arial"/>
                <w:sz w:val="24"/>
                <w:szCs w:val="24"/>
              </w:rPr>
            </w:pPr>
            <w:r w:rsidRPr="00F90626">
              <w:rPr>
                <w:rFonts w:ascii="Arial" w:hAnsi="Arial" w:cs="Arial"/>
                <w:sz w:val="24"/>
                <w:szCs w:val="24"/>
              </w:rPr>
              <w:t xml:space="preserve">Indicate whether </w:t>
            </w:r>
            <w:r w:rsidR="001167A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F90626">
              <w:rPr>
                <w:rFonts w:ascii="Arial" w:hAnsi="Arial" w:cs="Arial"/>
                <w:sz w:val="24"/>
                <w:szCs w:val="24"/>
              </w:rPr>
              <w:t xml:space="preserve">disposition is requested for </w:t>
            </w:r>
            <w:r w:rsidR="003C00FC">
              <w:rPr>
                <w:rFonts w:ascii="Arial" w:hAnsi="Arial" w:cs="Arial"/>
                <w:sz w:val="24"/>
                <w:szCs w:val="24"/>
              </w:rPr>
              <w:t>the Group 2</w:t>
            </w:r>
            <w:r w:rsidR="003C00FC" w:rsidRPr="00F906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0626">
              <w:rPr>
                <w:rFonts w:ascii="Arial" w:hAnsi="Arial" w:cs="Arial"/>
                <w:sz w:val="24"/>
                <w:szCs w:val="24"/>
              </w:rPr>
              <w:t>accounts in column BU.</w:t>
            </w:r>
          </w:p>
          <w:p w14:paraId="2D32C9E6" w14:textId="77777777" w:rsidR="00F90626" w:rsidRPr="00F90626" w:rsidRDefault="00F90626" w:rsidP="00F906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626" w14:paraId="3DBA4FB3" w14:textId="77777777" w:rsidTr="00FB11C3">
        <w:tc>
          <w:tcPr>
            <w:tcW w:w="1129" w:type="dxa"/>
          </w:tcPr>
          <w:p w14:paraId="23E7B774" w14:textId="19330E07" w:rsidR="00F90626" w:rsidRDefault="00D70C61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14:paraId="23F84618" w14:textId="621B6D81" w:rsidR="00F90626" w:rsidRPr="00F90626" w:rsidRDefault="00F90626" w:rsidP="00F90626">
            <w:pPr>
              <w:rPr>
                <w:rFonts w:ascii="Arial" w:hAnsi="Arial" w:cs="Arial"/>
                <w:sz w:val="24"/>
                <w:szCs w:val="24"/>
              </w:rPr>
            </w:pPr>
            <w:r w:rsidRPr="00F90626">
              <w:rPr>
                <w:rFonts w:ascii="Arial" w:hAnsi="Arial" w:cs="Arial"/>
                <w:sz w:val="24"/>
                <w:szCs w:val="24"/>
              </w:rPr>
              <w:t xml:space="preserve">Review any balance variance between the DVA </w:t>
            </w:r>
            <w:r w:rsidR="00744FC8">
              <w:rPr>
                <w:rFonts w:ascii="Arial" w:hAnsi="Arial" w:cs="Arial"/>
                <w:sz w:val="24"/>
                <w:szCs w:val="24"/>
              </w:rPr>
              <w:t>C</w:t>
            </w:r>
            <w:r w:rsidRPr="00F90626">
              <w:rPr>
                <w:rFonts w:ascii="Arial" w:hAnsi="Arial" w:cs="Arial"/>
                <w:sz w:val="24"/>
                <w:szCs w:val="24"/>
              </w:rPr>
              <w:t xml:space="preserve">ontinuity </w:t>
            </w:r>
            <w:r w:rsidR="00744FC8">
              <w:rPr>
                <w:rFonts w:ascii="Arial" w:hAnsi="Arial" w:cs="Arial"/>
                <w:sz w:val="24"/>
                <w:szCs w:val="24"/>
              </w:rPr>
              <w:t>S</w:t>
            </w:r>
            <w:r w:rsidRPr="00F90626">
              <w:rPr>
                <w:rFonts w:ascii="Arial" w:hAnsi="Arial" w:cs="Arial"/>
                <w:sz w:val="24"/>
                <w:szCs w:val="24"/>
              </w:rPr>
              <w:t xml:space="preserve">chedule and the RRR in column BW. Provide an explanation in </w:t>
            </w:r>
            <w:r w:rsidR="00601AA1">
              <w:rPr>
                <w:rFonts w:ascii="Arial" w:hAnsi="Arial" w:cs="Arial"/>
                <w:sz w:val="24"/>
                <w:szCs w:val="24"/>
              </w:rPr>
              <w:t>T</w:t>
            </w:r>
            <w:r w:rsidRPr="00F90626">
              <w:rPr>
                <w:rFonts w:ascii="Arial" w:hAnsi="Arial" w:cs="Arial"/>
                <w:sz w:val="24"/>
                <w:szCs w:val="24"/>
              </w:rPr>
              <w:t>ab 3, if necessary.</w:t>
            </w:r>
          </w:p>
          <w:p w14:paraId="0B75B556" w14:textId="77777777" w:rsidR="00F90626" w:rsidRPr="00F90626" w:rsidRDefault="00F90626" w:rsidP="00F906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94527C" w14:textId="77777777" w:rsidR="007779E9" w:rsidRPr="007779E9" w:rsidRDefault="007779E9" w:rsidP="007779E9"/>
    <w:p w14:paraId="05FED5C0" w14:textId="5B6D4C40" w:rsidR="00527118" w:rsidRDefault="00527118" w:rsidP="00B15845">
      <w:pPr>
        <w:pStyle w:val="Heading3"/>
        <w:spacing w:after="100" w:afterAutospacing="1"/>
        <w:rPr>
          <w:rFonts w:ascii="Cambria" w:eastAsia="Times New Roman" w:hAnsi="Cambria" w:cs="Arial"/>
          <w:b/>
          <w:bCs/>
          <w:sz w:val="28"/>
          <w:szCs w:val="28"/>
          <w:u w:val="single"/>
        </w:rPr>
      </w:pP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Tab </w:t>
      </w:r>
      <w:r w:rsidR="005E62B0">
        <w:rPr>
          <w:rFonts w:ascii="Cambria" w:eastAsia="Times New Roman" w:hAnsi="Cambria" w:cs="Arial"/>
          <w:b/>
          <w:bCs/>
          <w:sz w:val="28"/>
          <w:szCs w:val="28"/>
          <w:u w:val="single"/>
        </w:rPr>
        <w:t>3</w:t>
      </w: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 – </w:t>
      </w:r>
      <w:r w:rsidR="000D5CA6">
        <w:rPr>
          <w:rFonts w:ascii="Cambria" w:eastAsia="Times New Roman" w:hAnsi="Cambria" w:cs="Arial"/>
          <w:b/>
          <w:bCs/>
          <w:sz w:val="28"/>
          <w:szCs w:val="28"/>
          <w:u w:val="single"/>
        </w:rPr>
        <w:t>Appendix A</w:t>
      </w:r>
    </w:p>
    <w:p w14:paraId="0D25E1C2" w14:textId="57ED27B5" w:rsidR="00341132" w:rsidRDefault="00341132" w:rsidP="00527118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341132">
        <w:rPr>
          <w:rFonts w:ascii="Arial" w:eastAsia="Times New Roman" w:hAnsi="Arial" w:cs="Arial"/>
          <w:sz w:val="24"/>
          <w:szCs w:val="24"/>
        </w:rPr>
        <w:t>This tab shows the year</w:t>
      </w:r>
      <w:r w:rsidR="001754DA">
        <w:rPr>
          <w:rFonts w:ascii="Arial" w:eastAsia="Times New Roman" w:hAnsi="Arial" w:cs="Arial"/>
          <w:sz w:val="24"/>
          <w:szCs w:val="24"/>
        </w:rPr>
        <w:t>-</w:t>
      </w:r>
      <w:r w:rsidRPr="00341132">
        <w:rPr>
          <w:rFonts w:ascii="Arial" w:eastAsia="Times New Roman" w:hAnsi="Arial" w:cs="Arial"/>
          <w:sz w:val="24"/>
          <w:szCs w:val="24"/>
        </w:rPr>
        <w:t xml:space="preserve">end balance variances between the </w:t>
      </w:r>
      <w:r w:rsidR="00302875">
        <w:rPr>
          <w:rFonts w:ascii="Arial" w:eastAsia="Times New Roman" w:hAnsi="Arial" w:cs="Arial"/>
          <w:sz w:val="24"/>
          <w:szCs w:val="24"/>
        </w:rPr>
        <w:t>C</w:t>
      </w:r>
      <w:r w:rsidRPr="00341132">
        <w:rPr>
          <w:rFonts w:ascii="Arial" w:eastAsia="Times New Roman" w:hAnsi="Arial" w:cs="Arial"/>
          <w:sz w:val="24"/>
          <w:szCs w:val="24"/>
        </w:rPr>
        <w:t xml:space="preserve">ontinuity </w:t>
      </w:r>
      <w:r w:rsidR="00302875">
        <w:rPr>
          <w:rFonts w:ascii="Arial" w:eastAsia="Times New Roman" w:hAnsi="Arial" w:cs="Arial"/>
          <w:sz w:val="24"/>
          <w:szCs w:val="24"/>
        </w:rPr>
        <w:t>S</w:t>
      </w:r>
      <w:r w:rsidRPr="00341132">
        <w:rPr>
          <w:rFonts w:ascii="Arial" w:eastAsia="Times New Roman" w:hAnsi="Arial" w:cs="Arial"/>
          <w:sz w:val="24"/>
          <w:szCs w:val="24"/>
        </w:rPr>
        <w:t>chedule</w:t>
      </w:r>
      <w:r w:rsidR="00302875">
        <w:rPr>
          <w:rFonts w:ascii="Arial" w:eastAsia="Times New Roman" w:hAnsi="Arial" w:cs="Arial"/>
          <w:sz w:val="24"/>
          <w:szCs w:val="24"/>
        </w:rPr>
        <w:t>s</w:t>
      </w:r>
      <w:r w:rsidRPr="00341132">
        <w:rPr>
          <w:rFonts w:ascii="Arial" w:eastAsia="Times New Roman" w:hAnsi="Arial" w:cs="Arial"/>
          <w:sz w:val="24"/>
          <w:szCs w:val="24"/>
        </w:rPr>
        <w:t xml:space="preserve"> and that reported in the RRR.</w:t>
      </w:r>
    </w:p>
    <w:p w14:paraId="6557DA98" w14:textId="77777777" w:rsidR="00B15845" w:rsidRDefault="00B15845" w:rsidP="00527118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41132" w:rsidRPr="001C1DD5" w14:paraId="49174BF4" w14:textId="77777777" w:rsidTr="00FB11C3">
        <w:tc>
          <w:tcPr>
            <w:tcW w:w="1129" w:type="dxa"/>
          </w:tcPr>
          <w:p w14:paraId="4010038A" w14:textId="77777777" w:rsidR="00341132" w:rsidRPr="001C1DD5" w:rsidRDefault="00341132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Step #</w:t>
            </w:r>
          </w:p>
        </w:tc>
        <w:tc>
          <w:tcPr>
            <w:tcW w:w="8221" w:type="dxa"/>
          </w:tcPr>
          <w:p w14:paraId="41648A38" w14:textId="77777777" w:rsidR="00341132" w:rsidRPr="001C1DD5" w:rsidRDefault="00341132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Instruction</w:t>
            </w:r>
          </w:p>
        </w:tc>
      </w:tr>
      <w:tr w:rsidR="00341132" w14:paraId="0E428C93" w14:textId="77777777" w:rsidTr="00FB11C3">
        <w:tc>
          <w:tcPr>
            <w:tcW w:w="1129" w:type="dxa"/>
          </w:tcPr>
          <w:p w14:paraId="5AFF164C" w14:textId="03B6F1A7" w:rsidR="00341132" w:rsidRDefault="00D70C61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  <w:p w14:paraId="07073DC6" w14:textId="77777777" w:rsidR="00341132" w:rsidRDefault="00341132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14:paraId="7F3F97B9" w14:textId="77777777" w:rsidR="00341132" w:rsidRDefault="00526DCD" w:rsidP="00526D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26DCD">
              <w:rPr>
                <w:rFonts w:ascii="Arial" w:eastAsia="Times New Roman" w:hAnsi="Arial" w:cs="Arial"/>
                <w:sz w:val="24"/>
                <w:szCs w:val="24"/>
              </w:rPr>
              <w:t>Provide an explanation for the variances identified.</w:t>
            </w:r>
          </w:p>
          <w:p w14:paraId="57B555DC" w14:textId="77777777" w:rsidR="00DA3324" w:rsidRDefault="00DA3324" w:rsidP="00526D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C627C6" w14:textId="795BBAA4" w:rsidR="00DA3324" w:rsidRDefault="00DA3324" w:rsidP="00526DC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A3324">
              <w:rPr>
                <w:rFonts w:ascii="Arial" w:eastAsia="Times New Roman" w:hAnsi="Arial" w:cs="Arial"/>
                <w:sz w:val="24"/>
                <w:szCs w:val="24"/>
              </w:rPr>
              <w:t xml:space="preserve">A reconciliation of all the Account 1508 sub-accounts to the Account 1508 control account reported in the Electricity RRR is to be provided in the DVA </w:t>
            </w:r>
            <w:r w:rsidR="00744FC8">
              <w:rPr>
                <w:rFonts w:ascii="Arial" w:eastAsia="Times New Roman" w:hAnsi="Arial" w:cs="Arial"/>
                <w:sz w:val="24"/>
                <w:szCs w:val="24"/>
              </w:rPr>
              <w:t>C</w:t>
            </w:r>
            <w:r w:rsidRPr="00DA3324">
              <w:rPr>
                <w:rFonts w:ascii="Arial" w:eastAsia="Times New Roman" w:hAnsi="Arial" w:cs="Arial"/>
                <w:sz w:val="24"/>
                <w:szCs w:val="24"/>
              </w:rPr>
              <w:t xml:space="preserve">ontinuity </w:t>
            </w:r>
            <w:r w:rsidR="00744FC8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DA3324">
              <w:rPr>
                <w:rFonts w:ascii="Arial" w:eastAsia="Times New Roman" w:hAnsi="Arial" w:cs="Arial"/>
                <w:sz w:val="24"/>
                <w:szCs w:val="24"/>
              </w:rPr>
              <w:t>chedule</w:t>
            </w:r>
            <w:r w:rsidR="009D739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03813107" w14:textId="71C4D902" w:rsidR="00ED0EAF" w:rsidRPr="00526DCD" w:rsidRDefault="00ED0EAF" w:rsidP="00526DCD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87339E9" w14:textId="77777777" w:rsidR="00341132" w:rsidRPr="00527118" w:rsidRDefault="00341132" w:rsidP="00CA0293">
      <w:pPr>
        <w:spacing w:line="276" w:lineRule="auto"/>
        <w:rPr>
          <w:rFonts w:ascii="Arial" w:eastAsia="Times New Roman" w:hAnsi="Arial" w:cs="Arial"/>
          <w:sz w:val="24"/>
          <w:szCs w:val="24"/>
        </w:rPr>
      </w:pPr>
    </w:p>
    <w:p w14:paraId="38C0E0D2" w14:textId="166E0976" w:rsidR="00526DCD" w:rsidRDefault="00526DCD" w:rsidP="005A14E7">
      <w:pPr>
        <w:pStyle w:val="Heading3"/>
        <w:spacing w:after="100" w:afterAutospacing="1"/>
        <w:rPr>
          <w:rFonts w:ascii="Cambria" w:eastAsia="Times New Roman" w:hAnsi="Cambria" w:cs="Arial"/>
          <w:b/>
          <w:bCs/>
          <w:sz w:val="28"/>
          <w:szCs w:val="28"/>
          <w:u w:val="single"/>
        </w:rPr>
      </w:pP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Tab </w:t>
      </w:r>
      <w:r>
        <w:rPr>
          <w:rFonts w:ascii="Cambria" w:eastAsia="Times New Roman" w:hAnsi="Cambria" w:cs="Arial"/>
          <w:b/>
          <w:bCs/>
          <w:sz w:val="28"/>
          <w:szCs w:val="28"/>
          <w:u w:val="single"/>
        </w:rPr>
        <w:t>4</w:t>
      </w: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 – </w:t>
      </w:r>
      <w:r>
        <w:rPr>
          <w:rFonts w:ascii="Cambria" w:eastAsia="Times New Roman" w:hAnsi="Cambria" w:cs="Arial"/>
          <w:b/>
          <w:bCs/>
          <w:sz w:val="28"/>
          <w:szCs w:val="28"/>
          <w:u w:val="single"/>
        </w:rPr>
        <w:t>Billing Determinant</w:t>
      </w:r>
    </w:p>
    <w:p w14:paraId="2446E0BB" w14:textId="7BD8163D" w:rsidR="00526DCD" w:rsidRDefault="00585671" w:rsidP="00526DCD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585671">
        <w:rPr>
          <w:rFonts w:ascii="Arial" w:eastAsia="Times New Roman" w:hAnsi="Arial" w:cs="Arial"/>
          <w:sz w:val="24"/>
          <w:szCs w:val="24"/>
        </w:rPr>
        <w:t>This tab shows the billing determinants that will be used to allocate account balances and calculate rate riders.</w:t>
      </w:r>
    </w:p>
    <w:p w14:paraId="2BDA1B8C" w14:textId="77777777" w:rsidR="00585671" w:rsidRDefault="00585671" w:rsidP="00526DCD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526DCD" w:rsidRPr="001C1DD5" w14:paraId="1712238B" w14:textId="77777777" w:rsidTr="00FB11C3">
        <w:tc>
          <w:tcPr>
            <w:tcW w:w="1129" w:type="dxa"/>
          </w:tcPr>
          <w:p w14:paraId="4E2822DA" w14:textId="77777777" w:rsidR="00526DCD" w:rsidRPr="001C1DD5" w:rsidRDefault="00526DCD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Step #</w:t>
            </w:r>
          </w:p>
        </w:tc>
        <w:tc>
          <w:tcPr>
            <w:tcW w:w="8221" w:type="dxa"/>
          </w:tcPr>
          <w:p w14:paraId="74CDD285" w14:textId="77777777" w:rsidR="00526DCD" w:rsidRPr="001C1DD5" w:rsidRDefault="00526DCD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Instruction</w:t>
            </w:r>
          </w:p>
        </w:tc>
      </w:tr>
      <w:tr w:rsidR="00526DCD" w14:paraId="5972B72A" w14:textId="77777777" w:rsidTr="00FB11C3">
        <w:tc>
          <w:tcPr>
            <w:tcW w:w="1129" w:type="dxa"/>
          </w:tcPr>
          <w:p w14:paraId="2DEA3C47" w14:textId="1C61535C" w:rsidR="00526DCD" w:rsidRDefault="00727402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14:paraId="0E172CCA" w14:textId="77777777" w:rsidR="00526DCD" w:rsidRDefault="00526DCD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14:paraId="285D3A09" w14:textId="757274CD" w:rsidR="00526DCD" w:rsidRDefault="00585671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85671">
              <w:rPr>
                <w:rFonts w:ascii="Arial" w:eastAsia="Times New Roman" w:hAnsi="Arial" w:cs="Arial"/>
                <w:sz w:val="24"/>
                <w:szCs w:val="24"/>
              </w:rPr>
              <w:t xml:space="preserve">Complete the billing determinants table based on the load forecast. </w:t>
            </w:r>
          </w:p>
          <w:p w14:paraId="2A1DEF51" w14:textId="65FCA545" w:rsidR="00585671" w:rsidRPr="00526DCD" w:rsidRDefault="00585671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9C103B3" w14:textId="001266BA" w:rsidR="00D6235B" w:rsidRDefault="00D6235B" w:rsidP="007B408C">
      <w:pPr>
        <w:rPr>
          <w:rFonts w:ascii="Arial" w:hAnsi="Arial" w:cs="Arial"/>
          <w:sz w:val="24"/>
          <w:szCs w:val="24"/>
        </w:rPr>
      </w:pPr>
    </w:p>
    <w:p w14:paraId="5CFB8D7D" w14:textId="42F7C945" w:rsidR="007B408C" w:rsidRDefault="007B408C" w:rsidP="00DF011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B34EE">
        <w:rPr>
          <w:rFonts w:ascii="Arial" w:hAnsi="Arial" w:cs="Arial"/>
          <w:sz w:val="24"/>
          <w:szCs w:val="24"/>
          <w:u w:val="single"/>
        </w:rPr>
        <w:t>Notes</w:t>
      </w:r>
      <w:r>
        <w:rPr>
          <w:rFonts w:ascii="Arial" w:hAnsi="Arial" w:cs="Arial"/>
          <w:sz w:val="24"/>
          <w:szCs w:val="24"/>
        </w:rPr>
        <w:t>:</w:t>
      </w:r>
    </w:p>
    <w:p w14:paraId="2CFA6B54" w14:textId="4F222019" w:rsidR="0048195C" w:rsidRDefault="007B408C" w:rsidP="00060D01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C</w:t>
      </w:r>
      <w:r w:rsidRPr="00585671">
        <w:rPr>
          <w:rFonts w:ascii="Arial" w:eastAsia="Times New Roman" w:hAnsi="Arial" w:cs="Arial"/>
          <w:sz w:val="24"/>
          <w:szCs w:val="24"/>
        </w:rPr>
        <w:t>olumn E</w:t>
      </w:r>
      <w:r w:rsidR="0034492A">
        <w:rPr>
          <w:rFonts w:ascii="Arial" w:eastAsia="Times New Roman" w:hAnsi="Arial" w:cs="Arial"/>
          <w:sz w:val="24"/>
          <w:szCs w:val="24"/>
        </w:rPr>
        <w:t xml:space="preserve"> for </w:t>
      </w:r>
      <w:r w:rsidR="00663242">
        <w:rPr>
          <w:rFonts w:ascii="Arial" w:eastAsia="Times New Roman" w:hAnsi="Arial" w:cs="Arial"/>
          <w:sz w:val="24"/>
          <w:szCs w:val="24"/>
        </w:rPr>
        <w:t>Forecast Total Metered Test Year kWh for Full Year Class A Customers and Transition Customers</w:t>
      </w:r>
      <w:r w:rsidRPr="00585671"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 w:rsidRPr="00585671">
        <w:rPr>
          <w:rFonts w:ascii="Arial" w:eastAsia="Times New Roman" w:hAnsi="Arial" w:cs="Arial"/>
          <w:sz w:val="24"/>
          <w:szCs w:val="24"/>
        </w:rPr>
        <w:t>i.e.</w:t>
      </w:r>
      <w:proofErr w:type="gramEnd"/>
      <w:r w:rsidRPr="00585671">
        <w:rPr>
          <w:rFonts w:ascii="Arial" w:eastAsia="Times New Roman" w:hAnsi="Arial" w:cs="Arial"/>
          <w:sz w:val="24"/>
          <w:szCs w:val="24"/>
        </w:rPr>
        <w:t xml:space="preserve"> columns O and P in excel) are generated when a </w:t>
      </w:r>
      <w:r w:rsidR="00BA14CE">
        <w:rPr>
          <w:rFonts w:ascii="Arial" w:eastAsia="Times New Roman" w:hAnsi="Arial" w:cs="Arial"/>
          <w:sz w:val="24"/>
          <w:szCs w:val="24"/>
        </w:rPr>
        <w:t>distributor</w:t>
      </w:r>
      <w:r w:rsidRPr="00585671">
        <w:rPr>
          <w:rFonts w:ascii="Arial" w:eastAsia="Times New Roman" w:hAnsi="Arial" w:cs="Arial"/>
          <w:sz w:val="24"/>
          <w:szCs w:val="24"/>
        </w:rPr>
        <w:t xml:space="preserve"> indicates they have Class A customers in </w:t>
      </w:r>
      <w:r w:rsidR="00F3329B">
        <w:rPr>
          <w:rFonts w:ascii="Arial" w:eastAsia="Times New Roman" w:hAnsi="Arial" w:cs="Arial"/>
          <w:sz w:val="24"/>
          <w:szCs w:val="24"/>
        </w:rPr>
        <w:t>T</w:t>
      </w:r>
      <w:r w:rsidRPr="00585671">
        <w:rPr>
          <w:rFonts w:ascii="Arial" w:eastAsia="Times New Roman" w:hAnsi="Arial" w:cs="Arial"/>
          <w:sz w:val="24"/>
          <w:szCs w:val="24"/>
        </w:rPr>
        <w:t xml:space="preserve">ab 1. Information in these columns </w:t>
      </w:r>
      <w:proofErr w:type="gramStart"/>
      <w:r w:rsidRPr="00585671">
        <w:rPr>
          <w:rFonts w:ascii="Arial" w:eastAsia="Times New Roman" w:hAnsi="Arial" w:cs="Arial"/>
          <w:sz w:val="24"/>
          <w:szCs w:val="24"/>
        </w:rPr>
        <w:t>are</w:t>
      </w:r>
      <w:proofErr w:type="gramEnd"/>
      <w:r w:rsidRPr="00585671">
        <w:rPr>
          <w:rFonts w:ascii="Arial" w:eastAsia="Times New Roman" w:hAnsi="Arial" w:cs="Arial"/>
          <w:sz w:val="24"/>
          <w:szCs w:val="24"/>
        </w:rPr>
        <w:t xml:space="preserve"> populated based on data from </w:t>
      </w:r>
      <w:r w:rsidR="00F14846">
        <w:rPr>
          <w:rFonts w:ascii="Arial" w:eastAsia="Times New Roman" w:hAnsi="Arial" w:cs="Arial"/>
          <w:sz w:val="24"/>
          <w:szCs w:val="24"/>
        </w:rPr>
        <w:t>T</w:t>
      </w:r>
      <w:r w:rsidRPr="00585671">
        <w:rPr>
          <w:rFonts w:ascii="Arial" w:eastAsia="Times New Roman" w:hAnsi="Arial" w:cs="Arial"/>
          <w:sz w:val="24"/>
          <w:szCs w:val="24"/>
        </w:rPr>
        <w:t>ab 6.</w:t>
      </w:r>
    </w:p>
    <w:p w14:paraId="6B364941" w14:textId="77777777" w:rsidR="00060D01" w:rsidRDefault="00060D01" w:rsidP="00060D01">
      <w:pPr>
        <w:spacing w:after="0" w:line="276" w:lineRule="auto"/>
        <w:rPr>
          <w:rFonts w:ascii="Cambria" w:eastAsia="Times New Roman" w:hAnsi="Cambria" w:cs="Arial"/>
          <w:b/>
          <w:bCs/>
          <w:color w:val="1F4D78" w:themeColor="accent1" w:themeShade="7F"/>
          <w:sz w:val="28"/>
          <w:szCs w:val="28"/>
          <w:u w:val="single"/>
        </w:rPr>
      </w:pPr>
    </w:p>
    <w:p w14:paraId="26A534CD" w14:textId="116363DA" w:rsidR="00913B89" w:rsidRDefault="00913B89" w:rsidP="005A14E7">
      <w:pPr>
        <w:pStyle w:val="Heading3"/>
        <w:spacing w:after="100" w:afterAutospacing="1"/>
        <w:rPr>
          <w:rFonts w:ascii="Cambria" w:eastAsia="Times New Roman" w:hAnsi="Cambria" w:cs="Arial"/>
          <w:b/>
          <w:bCs/>
          <w:sz w:val="28"/>
          <w:szCs w:val="28"/>
          <w:u w:val="single"/>
        </w:rPr>
      </w:pP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Tab </w:t>
      </w:r>
      <w:r>
        <w:rPr>
          <w:rFonts w:ascii="Cambria" w:eastAsia="Times New Roman" w:hAnsi="Cambria" w:cs="Arial"/>
          <w:b/>
          <w:bCs/>
          <w:sz w:val="28"/>
          <w:szCs w:val="28"/>
          <w:u w:val="single"/>
        </w:rPr>
        <w:t>5</w:t>
      </w: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 – </w:t>
      </w:r>
      <w:r w:rsidR="00DC77C0">
        <w:rPr>
          <w:rFonts w:ascii="Cambria" w:eastAsia="Times New Roman" w:hAnsi="Cambria" w:cs="Arial"/>
          <w:b/>
          <w:bCs/>
          <w:sz w:val="28"/>
          <w:szCs w:val="28"/>
          <w:u w:val="single"/>
        </w:rPr>
        <w:t>Allocating Def-Var Balances</w:t>
      </w:r>
    </w:p>
    <w:p w14:paraId="2AE77304" w14:textId="14314AFF" w:rsidR="00913B89" w:rsidRDefault="00913B89" w:rsidP="00913B89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585671">
        <w:rPr>
          <w:rFonts w:ascii="Arial" w:eastAsia="Times New Roman" w:hAnsi="Arial" w:cs="Arial"/>
          <w:sz w:val="24"/>
          <w:szCs w:val="24"/>
        </w:rPr>
        <w:t xml:space="preserve">This tab </w:t>
      </w:r>
      <w:r w:rsidR="00DC77C0">
        <w:rPr>
          <w:rFonts w:ascii="Arial" w:eastAsia="Times New Roman" w:hAnsi="Arial" w:cs="Arial"/>
          <w:sz w:val="24"/>
          <w:szCs w:val="24"/>
        </w:rPr>
        <w:t>allocates DVA balances</w:t>
      </w:r>
      <w:r w:rsidR="0007230D">
        <w:rPr>
          <w:rFonts w:ascii="Arial" w:eastAsia="Times New Roman" w:hAnsi="Arial" w:cs="Arial"/>
          <w:sz w:val="24"/>
          <w:szCs w:val="24"/>
        </w:rPr>
        <w:t xml:space="preserve"> based on the billing determinants</w:t>
      </w:r>
      <w:r w:rsidRPr="00585671">
        <w:rPr>
          <w:rFonts w:ascii="Arial" w:eastAsia="Times New Roman" w:hAnsi="Arial" w:cs="Arial"/>
          <w:sz w:val="24"/>
          <w:szCs w:val="24"/>
        </w:rPr>
        <w:t>.</w:t>
      </w:r>
    </w:p>
    <w:p w14:paraId="0C34326E" w14:textId="77777777" w:rsidR="00913B89" w:rsidRDefault="00913B89" w:rsidP="00913B89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913B89" w:rsidRPr="001C1DD5" w14:paraId="164111C7" w14:textId="77777777" w:rsidTr="00FB11C3">
        <w:tc>
          <w:tcPr>
            <w:tcW w:w="1129" w:type="dxa"/>
          </w:tcPr>
          <w:p w14:paraId="497F4E7F" w14:textId="77777777" w:rsidR="00913B89" w:rsidRPr="001C1DD5" w:rsidRDefault="00913B89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Step #</w:t>
            </w:r>
          </w:p>
        </w:tc>
        <w:tc>
          <w:tcPr>
            <w:tcW w:w="8221" w:type="dxa"/>
          </w:tcPr>
          <w:p w14:paraId="33F3423E" w14:textId="77777777" w:rsidR="00913B89" w:rsidRPr="001C1DD5" w:rsidRDefault="00913B89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Instruction</w:t>
            </w:r>
          </w:p>
        </w:tc>
      </w:tr>
      <w:tr w:rsidR="00913B89" w14:paraId="070B74D3" w14:textId="77777777" w:rsidTr="00FB11C3">
        <w:tc>
          <w:tcPr>
            <w:tcW w:w="1129" w:type="dxa"/>
          </w:tcPr>
          <w:p w14:paraId="5953BD2F" w14:textId="16E86821" w:rsidR="00913B89" w:rsidRDefault="00727402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  <w:p w14:paraId="7C8D8F42" w14:textId="77777777" w:rsidR="00913B89" w:rsidRDefault="00913B89" w:rsidP="00576959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540E1F6" w14:textId="77777777" w:rsidR="00913B89" w:rsidRDefault="006F2C82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F2C82">
              <w:rPr>
                <w:rFonts w:ascii="Arial" w:eastAsia="Times New Roman" w:hAnsi="Arial" w:cs="Arial"/>
                <w:sz w:val="24"/>
                <w:szCs w:val="24"/>
              </w:rPr>
              <w:t xml:space="preserve">Review the allocated balances to ensure the allocation is appropriate.  </w:t>
            </w:r>
          </w:p>
          <w:p w14:paraId="03479C53" w14:textId="77777777" w:rsidR="007D6FB0" w:rsidRDefault="007D6FB0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6064B0" w14:textId="37F9EA20" w:rsidR="009C0AB7" w:rsidRPr="009C0AB7" w:rsidRDefault="009C0AB7" w:rsidP="009C0AB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C0AB7">
              <w:rPr>
                <w:rFonts w:ascii="Arial" w:eastAsia="Times New Roman" w:hAnsi="Arial" w:cs="Arial"/>
                <w:sz w:val="24"/>
                <w:szCs w:val="24"/>
              </w:rPr>
              <w:t>If a distributor is proposing to allocate a DVA for which the OEB has not established an approved allocator, the distributor must propose an allocator based on the cost driver(s), with justification</w:t>
            </w:r>
            <w:r w:rsidR="003353E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75398">
              <w:rPr>
                <w:rFonts w:ascii="Arial" w:eastAsia="Times New Roman" w:hAnsi="Arial" w:cs="Arial"/>
                <w:sz w:val="24"/>
                <w:szCs w:val="24"/>
              </w:rPr>
              <w:t xml:space="preserve">filed </w:t>
            </w:r>
            <w:r w:rsidR="003353E4">
              <w:rPr>
                <w:rFonts w:ascii="Arial" w:eastAsia="Times New Roman" w:hAnsi="Arial" w:cs="Arial"/>
                <w:sz w:val="24"/>
                <w:szCs w:val="24"/>
              </w:rPr>
              <w:t>in the evidence</w:t>
            </w:r>
            <w:r w:rsidRPr="009C0AB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2FC65577" w14:textId="513F8F52" w:rsidR="007D6FB0" w:rsidRDefault="009C0AB7" w:rsidP="009D01E2">
            <w:pPr>
              <w:pStyle w:val="ListParagraph"/>
              <w:numPr>
                <w:ilvl w:val="0"/>
                <w:numId w:val="8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576959">
              <w:rPr>
                <w:rFonts w:ascii="Arial" w:eastAsia="Times New Roman" w:hAnsi="Arial" w:cs="Arial"/>
                <w:sz w:val="24"/>
                <w:szCs w:val="24"/>
              </w:rPr>
              <w:t>Indicate the proposed billing determinants, including a charge type (fixed or variable) for recovery purposes</w:t>
            </w:r>
            <w:r w:rsidR="00F75398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7482DA2" w14:textId="2F7B7F10" w:rsidR="00536D7A" w:rsidRPr="00576959" w:rsidRDefault="00536D7A" w:rsidP="00576959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DA549D4" w14:textId="77777777" w:rsidR="006F2C82" w:rsidRDefault="006F2C82" w:rsidP="006F2C82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39B644DE" w14:textId="020D91F6" w:rsidR="006F2C82" w:rsidRDefault="006F2C82" w:rsidP="00DF011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B34EE">
        <w:rPr>
          <w:rFonts w:ascii="Arial" w:hAnsi="Arial" w:cs="Arial"/>
          <w:sz w:val="24"/>
          <w:szCs w:val="24"/>
          <w:u w:val="single"/>
        </w:rPr>
        <w:t>Notes</w:t>
      </w:r>
      <w:r>
        <w:rPr>
          <w:rFonts w:ascii="Arial" w:hAnsi="Arial" w:cs="Arial"/>
          <w:sz w:val="24"/>
          <w:szCs w:val="24"/>
        </w:rPr>
        <w:t>:</w:t>
      </w:r>
    </w:p>
    <w:p w14:paraId="315C58AB" w14:textId="41EC0ECE" w:rsidR="004A3174" w:rsidRDefault="004A3174" w:rsidP="004A3174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2B42D1">
        <w:rPr>
          <w:rFonts w:ascii="Arial" w:eastAsia="Times New Roman" w:hAnsi="Arial" w:cs="Arial"/>
          <w:sz w:val="24"/>
          <w:szCs w:val="24"/>
        </w:rPr>
        <w:t xml:space="preserve">Distributors that settle GA costs with Class A customers that participate in the Industrial Conservation Initiative based on actual GA prices should allocate no </w:t>
      </w:r>
      <w:r w:rsidR="00A065E1">
        <w:rPr>
          <w:rFonts w:ascii="Arial" w:eastAsia="Times New Roman" w:hAnsi="Arial" w:cs="Arial"/>
          <w:sz w:val="24"/>
          <w:szCs w:val="24"/>
        </w:rPr>
        <w:t>Account 1589</w:t>
      </w:r>
      <w:r w:rsidR="00744FC8">
        <w:rPr>
          <w:rFonts w:ascii="Arial" w:eastAsia="Times New Roman" w:hAnsi="Arial" w:cs="Arial"/>
          <w:sz w:val="24"/>
          <w:szCs w:val="24"/>
        </w:rPr>
        <w:t xml:space="preserve"> </w:t>
      </w:r>
      <w:r w:rsidRPr="002B42D1">
        <w:rPr>
          <w:rFonts w:ascii="Arial" w:eastAsia="Times New Roman" w:hAnsi="Arial" w:cs="Arial"/>
          <w:sz w:val="24"/>
          <w:szCs w:val="24"/>
        </w:rPr>
        <w:t>GA variance balance to these customers for the period that customers were designated as Class A</w:t>
      </w:r>
      <w:r>
        <w:rPr>
          <w:rFonts w:ascii="Arial" w:eastAsia="Times New Roman" w:hAnsi="Arial" w:cs="Arial"/>
          <w:sz w:val="24"/>
          <w:szCs w:val="24"/>
        </w:rPr>
        <w:t>.</w:t>
      </w:r>
      <w:r>
        <w:rPr>
          <w:rStyle w:val="FootnoteReference"/>
          <w:rFonts w:ascii="Arial" w:eastAsia="Times New Roman" w:hAnsi="Arial" w:cs="Arial"/>
          <w:sz w:val="24"/>
          <w:szCs w:val="24"/>
        </w:rPr>
        <w:footnoteReference w:id="2"/>
      </w:r>
      <w:r w:rsidR="0076378B">
        <w:rPr>
          <w:rFonts w:ascii="Arial" w:eastAsia="Times New Roman" w:hAnsi="Arial" w:cs="Arial"/>
          <w:sz w:val="24"/>
          <w:szCs w:val="24"/>
        </w:rPr>
        <w:t xml:space="preserve"> </w:t>
      </w:r>
      <w:r w:rsidR="0076378B" w:rsidRPr="00E76BD2">
        <w:rPr>
          <w:rFonts w:ascii="Arial" w:eastAsia="Times New Roman" w:hAnsi="Arial" w:cs="Arial"/>
          <w:sz w:val="24"/>
          <w:szCs w:val="24"/>
        </w:rPr>
        <w:t>Most customers pay GA and CBR charges based on the amount of electricity they</w:t>
      </w:r>
      <w:r w:rsidR="0076378B">
        <w:rPr>
          <w:rFonts w:ascii="Arial" w:eastAsia="Times New Roman" w:hAnsi="Arial" w:cs="Arial"/>
          <w:sz w:val="24"/>
          <w:szCs w:val="24"/>
        </w:rPr>
        <w:t xml:space="preserve"> </w:t>
      </w:r>
      <w:r w:rsidR="0076378B" w:rsidRPr="00E76BD2">
        <w:rPr>
          <w:rFonts w:ascii="Arial" w:eastAsia="Times New Roman" w:hAnsi="Arial" w:cs="Arial"/>
          <w:sz w:val="24"/>
          <w:szCs w:val="24"/>
        </w:rPr>
        <w:t>consume in a month (kWh). These customers are referred to as “Class B”</w:t>
      </w:r>
    </w:p>
    <w:p w14:paraId="19C81765" w14:textId="0E6A0B9E" w:rsidR="006E5701" w:rsidRDefault="006F2C82" w:rsidP="00DF0112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Pr="006F2C82">
        <w:rPr>
          <w:rFonts w:ascii="Arial" w:eastAsia="Times New Roman" w:hAnsi="Arial" w:cs="Arial"/>
          <w:sz w:val="24"/>
          <w:szCs w:val="24"/>
        </w:rPr>
        <w:t xml:space="preserve">he allocations for Accounts 1589 and </w:t>
      </w:r>
      <w:r w:rsidR="00051506">
        <w:rPr>
          <w:rFonts w:ascii="Arial" w:eastAsia="Times New Roman" w:hAnsi="Arial" w:cs="Arial"/>
          <w:sz w:val="24"/>
          <w:szCs w:val="24"/>
        </w:rPr>
        <w:t xml:space="preserve">Account </w:t>
      </w:r>
      <w:r w:rsidRPr="006F2C82">
        <w:rPr>
          <w:rFonts w:ascii="Arial" w:eastAsia="Times New Roman" w:hAnsi="Arial" w:cs="Arial"/>
          <w:sz w:val="24"/>
          <w:szCs w:val="24"/>
        </w:rPr>
        <w:t>1580</w:t>
      </w:r>
      <w:r w:rsidR="00051506">
        <w:rPr>
          <w:rFonts w:ascii="Arial" w:eastAsia="Times New Roman" w:hAnsi="Arial" w:cs="Arial"/>
          <w:sz w:val="24"/>
          <w:szCs w:val="24"/>
        </w:rPr>
        <w:t>, S</w:t>
      </w:r>
      <w:r w:rsidR="00B41BA8">
        <w:rPr>
          <w:rFonts w:ascii="Arial" w:eastAsia="Times New Roman" w:hAnsi="Arial" w:cs="Arial"/>
          <w:sz w:val="24"/>
          <w:szCs w:val="24"/>
        </w:rPr>
        <w:t>ub-account</w:t>
      </w:r>
      <w:r w:rsidRPr="006F2C82">
        <w:rPr>
          <w:rFonts w:ascii="Arial" w:eastAsia="Times New Roman" w:hAnsi="Arial" w:cs="Arial"/>
          <w:sz w:val="24"/>
          <w:szCs w:val="24"/>
        </w:rPr>
        <w:t xml:space="preserve"> CBR Class B </w:t>
      </w:r>
      <w:r w:rsidR="00EF445B">
        <w:rPr>
          <w:rFonts w:ascii="Arial" w:eastAsia="Times New Roman" w:hAnsi="Arial" w:cs="Arial"/>
          <w:sz w:val="24"/>
          <w:szCs w:val="24"/>
        </w:rPr>
        <w:t xml:space="preserve">in the Continuity Schedule </w:t>
      </w:r>
      <w:r w:rsidRPr="006F2C82">
        <w:rPr>
          <w:rFonts w:ascii="Arial" w:eastAsia="Times New Roman" w:hAnsi="Arial" w:cs="Arial"/>
          <w:sz w:val="24"/>
          <w:szCs w:val="24"/>
        </w:rPr>
        <w:t xml:space="preserve">will be determined after </w:t>
      </w:r>
      <w:r w:rsidR="00B41BA8">
        <w:rPr>
          <w:rFonts w:ascii="Arial" w:eastAsia="Times New Roman" w:hAnsi="Arial" w:cs="Arial"/>
          <w:sz w:val="24"/>
          <w:szCs w:val="24"/>
        </w:rPr>
        <w:t>T</w:t>
      </w:r>
      <w:r w:rsidRPr="006F2C82">
        <w:rPr>
          <w:rFonts w:ascii="Arial" w:eastAsia="Times New Roman" w:hAnsi="Arial" w:cs="Arial"/>
          <w:sz w:val="24"/>
          <w:szCs w:val="24"/>
        </w:rPr>
        <w:t>abs 6 to 6.2a have been completed.</w:t>
      </w:r>
    </w:p>
    <w:p w14:paraId="67088AF2" w14:textId="68CD08FF" w:rsidR="0020028A" w:rsidRDefault="00BF1DE4" w:rsidP="00DF0112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 wholesale market participant (WMP) </w:t>
      </w:r>
      <w:r w:rsidRPr="004B174C">
        <w:rPr>
          <w:rFonts w:ascii="Arial" w:eastAsia="Times New Roman" w:hAnsi="Arial" w:cs="Arial"/>
          <w:sz w:val="24"/>
          <w:szCs w:val="24"/>
        </w:rPr>
        <w:t>refers to any entity that participates directly in any of the IESO-administered markets and that settles commodity and market-related charges with the IESO even if they are embedded in the distributor’s distribution system</w:t>
      </w:r>
      <w:r>
        <w:rPr>
          <w:rFonts w:ascii="Arial" w:eastAsia="Times New Roman" w:hAnsi="Arial" w:cs="Arial"/>
          <w:sz w:val="24"/>
          <w:szCs w:val="24"/>
        </w:rPr>
        <w:t xml:space="preserve">. Therefore, </w:t>
      </w:r>
      <w:r w:rsidR="00C3153D">
        <w:rPr>
          <w:rFonts w:ascii="Arial" w:eastAsia="Times New Roman" w:hAnsi="Arial" w:cs="Arial"/>
          <w:sz w:val="24"/>
          <w:szCs w:val="24"/>
        </w:rPr>
        <w:t xml:space="preserve">the Continuity Schedule will not allocate the </w:t>
      </w:r>
      <w:r w:rsidR="00E74FA0">
        <w:rPr>
          <w:rFonts w:ascii="Arial" w:eastAsia="Times New Roman" w:hAnsi="Arial" w:cs="Arial"/>
          <w:sz w:val="24"/>
          <w:szCs w:val="24"/>
        </w:rPr>
        <w:t xml:space="preserve">balances in </w:t>
      </w:r>
      <w:r w:rsidR="00C3153D">
        <w:rPr>
          <w:rFonts w:ascii="Arial" w:eastAsia="Times New Roman" w:hAnsi="Arial" w:cs="Arial"/>
          <w:sz w:val="24"/>
          <w:szCs w:val="24"/>
        </w:rPr>
        <w:t>the below accounts to WMP customers.</w:t>
      </w:r>
      <w:r w:rsidR="000B55A0">
        <w:rPr>
          <w:rFonts w:ascii="Arial" w:eastAsia="Times New Roman" w:hAnsi="Arial" w:cs="Arial"/>
          <w:sz w:val="24"/>
          <w:szCs w:val="24"/>
        </w:rPr>
        <w:t xml:space="preserve"> The Continuity Schedule </w:t>
      </w:r>
      <w:r w:rsidR="002C10B3">
        <w:rPr>
          <w:rFonts w:ascii="Arial" w:eastAsia="Times New Roman" w:hAnsi="Arial" w:cs="Arial"/>
          <w:sz w:val="24"/>
          <w:szCs w:val="24"/>
        </w:rPr>
        <w:t xml:space="preserve">establishes separate rate riders to recover balances in </w:t>
      </w:r>
      <w:r w:rsidR="00A51FC7">
        <w:rPr>
          <w:rFonts w:ascii="Arial" w:eastAsia="Times New Roman" w:hAnsi="Arial" w:cs="Arial"/>
          <w:sz w:val="24"/>
          <w:szCs w:val="24"/>
        </w:rPr>
        <w:t>Retail Settlement Variance Accounts (RSVAs)</w:t>
      </w:r>
      <w:r w:rsidR="002C10B3">
        <w:rPr>
          <w:rFonts w:ascii="Arial" w:eastAsia="Times New Roman" w:hAnsi="Arial" w:cs="Arial"/>
          <w:sz w:val="24"/>
          <w:szCs w:val="24"/>
        </w:rPr>
        <w:t xml:space="preserve"> from WMP customers.</w:t>
      </w:r>
    </w:p>
    <w:p w14:paraId="00754782" w14:textId="77777777" w:rsidR="0020028A" w:rsidRDefault="0020028A" w:rsidP="0020028A">
      <w:pPr>
        <w:pStyle w:val="ListParagraph"/>
        <w:numPr>
          <w:ilvl w:val="0"/>
          <w:numId w:val="80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576959">
        <w:rPr>
          <w:rFonts w:ascii="Arial" w:eastAsia="Times New Roman" w:hAnsi="Arial" w:cs="Arial"/>
          <w:sz w:val="24"/>
          <w:szCs w:val="24"/>
        </w:rPr>
        <w:t>Account 1580 RSVA – Wholesale Market Services Charge</w:t>
      </w:r>
    </w:p>
    <w:p w14:paraId="0CE70DCE" w14:textId="3D2FADE6" w:rsidR="0020028A" w:rsidRDefault="0020028A" w:rsidP="0020028A">
      <w:pPr>
        <w:pStyle w:val="ListParagraph"/>
        <w:numPr>
          <w:ilvl w:val="0"/>
          <w:numId w:val="80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576959">
        <w:rPr>
          <w:rFonts w:ascii="Arial" w:eastAsia="Times New Roman" w:hAnsi="Arial" w:cs="Arial"/>
          <w:sz w:val="24"/>
          <w:szCs w:val="24"/>
        </w:rPr>
        <w:t xml:space="preserve">Account 1580 Variance WMS, Sub-Account CBR Class B </w:t>
      </w:r>
    </w:p>
    <w:p w14:paraId="1F3397CB" w14:textId="77777777" w:rsidR="0020028A" w:rsidRDefault="0020028A" w:rsidP="00004EE8">
      <w:pPr>
        <w:pStyle w:val="ListParagraph"/>
        <w:numPr>
          <w:ilvl w:val="0"/>
          <w:numId w:val="80"/>
        </w:num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576959">
        <w:rPr>
          <w:rFonts w:ascii="Arial" w:eastAsia="Times New Roman" w:hAnsi="Arial" w:cs="Arial"/>
          <w:sz w:val="24"/>
          <w:szCs w:val="24"/>
        </w:rPr>
        <w:t>Account 1588 RSVA – Power</w:t>
      </w:r>
    </w:p>
    <w:p w14:paraId="4517E52F" w14:textId="154C632D" w:rsidR="00C3153D" w:rsidRDefault="0020028A" w:rsidP="00576959">
      <w:pPr>
        <w:pStyle w:val="ListParagraph"/>
        <w:numPr>
          <w:ilvl w:val="0"/>
          <w:numId w:val="80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576959">
        <w:rPr>
          <w:rFonts w:ascii="Arial" w:eastAsia="Times New Roman" w:hAnsi="Arial" w:cs="Arial"/>
          <w:sz w:val="24"/>
          <w:szCs w:val="24"/>
        </w:rPr>
        <w:lastRenderedPageBreak/>
        <w:t xml:space="preserve"> Account 1589 RSVA – Global Adjustment</w:t>
      </w:r>
      <w:r w:rsidR="0058351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0FC1FFC" w14:textId="77777777" w:rsidR="00A41CC6" w:rsidRDefault="00A41CC6" w:rsidP="00C06284">
      <w:pPr>
        <w:pStyle w:val="ListParagraph"/>
        <w:spacing w:after="0" w:line="276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296B7BFE" w14:textId="50F721CF" w:rsidR="00A17952" w:rsidRDefault="00A17952" w:rsidP="00060D01">
      <w:pPr>
        <w:rPr>
          <w:rFonts w:ascii="Cambria" w:eastAsia="Times New Roman" w:hAnsi="Cambria" w:cs="Arial"/>
          <w:b/>
          <w:bCs/>
          <w:sz w:val="28"/>
          <w:szCs w:val="28"/>
          <w:u w:val="single"/>
        </w:rPr>
      </w:pP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Tab </w:t>
      </w:r>
      <w:r>
        <w:rPr>
          <w:rFonts w:ascii="Cambria" w:eastAsia="Times New Roman" w:hAnsi="Cambria" w:cs="Arial"/>
          <w:b/>
          <w:bCs/>
          <w:sz w:val="28"/>
          <w:szCs w:val="28"/>
          <w:u w:val="single"/>
        </w:rPr>
        <w:t>6</w:t>
      </w: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 – </w:t>
      </w:r>
      <w:r w:rsidR="00CA0293">
        <w:rPr>
          <w:rFonts w:ascii="Cambria" w:eastAsia="Times New Roman" w:hAnsi="Cambria" w:cs="Arial"/>
          <w:b/>
          <w:bCs/>
          <w:sz w:val="28"/>
          <w:szCs w:val="28"/>
          <w:u w:val="single"/>
        </w:rPr>
        <w:t>Class A Consumption Data</w:t>
      </w:r>
    </w:p>
    <w:p w14:paraId="17B8CCAD" w14:textId="77777777" w:rsidR="008D78BF" w:rsidRDefault="008D78BF" w:rsidP="008D78BF">
      <w:pPr>
        <w:spacing w:after="0"/>
        <w:rPr>
          <w:rFonts w:ascii="Arial" w:eastAsia="Times New Roman" w:hAnsi="Arial" w:cs="Arial"/>
          <w:sz w:val="24"/>
          <w:szCs w:val="24"/>
        </w:rPr>
      </w:pPr>
      <w:r w:rsidRPr="003258BD">
        <w:rPr>
          <w:rFonts w:ascii="Arial" w:eastAsia="Times New Roman" w:hAnsi="Arial" w:cs="Arial"/>
          <w:sz w:val="24"/>
          <w:szCs w:val="24"/>
        </w:rPr>
        <w:t xml:space="preserve">This tab is generated when the </w:t>
      </w:r>
      <w:r>
        <w:rPr>
          <w:rFonts w:ascii="Arial" w:eastAsia="Times New Roman" w:hAnsi="Arial" w:cs="Arial"/>
          <w:sz w:val="24"/>
          <w:szCs w:val="24"/>
        </w:rPr>
        <w:t>distributor</w:t>
      </w:r>
      <w:r w:rsidRPr="003258BD">
        <w:rPr>
          <w:rFonts w:ascii="Arial" w:eastAsia="Times New Roman" w:hAnsi="Arial" w:cs="Arial"/>
          <w:sz w:val="24"/>
          <w:szCs w:val="24"/>
        </w:rPr>
        <w:t xml:space="preserve"> selects yes to questions 5 or 6 in </w:t>
      </w:r>
      <w:r>
        <w:rPr>
          <w:rFonts w:ascii="Arial" w:eastAsia="Times New Roman" w:hAnsi="Arial" w:cs="Arial"/>
          <w:sz w:val="24"/>
          <w:szCs w:val="24"/>
        </w:rPr>
        <w:t>T</w:t>
      </w:r>
      <w:r w:rsidRPr="003258BD">
        <w:rPr>
          <w:rFonts w:ascii="Arial" w:eastAsia="Times New Roman" w:hAnsi="Arial" w:cs="Arial"/>
          <w:sz w:val="24"/>
          <w:szCs w:val="24"/>
        </w:rPr>
        <w:t>ab 1, indicating they had Class A customers during the period that the GA or CBR balance accumulated.</w:t>
      </w:r>
    </w:p>
    <w:p w14:paraId="44CC744F" w14:textId="77777777" w:rsidR="008D78BF" w:rsidRDefault="008D78BF" w:rsidP="008D78BF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28291335" w14:textId="6CEF77E0" w:rsidR="00081398" w:rsidRDefault="006E5701" w:rsidP="006E5701">
      <w:pPr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6E5701">
        <w:rPr>
          <w:rFonts w:ascii="Arial" w:eastAsia="Times New Roman" w:hAnsi="Arial" w:cs="Arial"/>
          <w:sz w:val="24"/>
          <w:szCs w:val="24"/>
        </w:rPr>
        <w:t>This tab is to be completed if there were any Class A customers during the period the GA balance CBR Class B balance accumulated. The data on this tab is used for the purposes of determining the GA rate rider, CBR Class B rate rider (if applicable), as well as customer</w:t>
      </w:r>
      <w:r w:rsidR="00182F4D">
        <w:rPr>
          <w:rFonts w:ascii="Arial" w:eastAsia="Times New Roman" w:hAnsi="Arial" w:cs="Arial"/>
          <w:sz w:val="24"/>
          <w:szCs w:val="24"/>
        </w:rPr>
        <w:t>-</w:t>
      </w:r>
      <w:r w:rsidRPr="006E5701">
        <w:rPr>
          <w:rFonts w:ascii="Arial" w:eastAsia="Times New Roman" w:hAnsi="Arial" w:cs="Arial"/>
          <w:sz w:val="24"/>
          <w:szCs w:val="24"/>
        </w:rPr>
        <w:t>specific GA and CBR Class B charges for transition customers (if applicable)</w:t>
      </w:r>
      <w:r w:rsidR="00BE13BE">
        <w:rPr>
          <w:rFonts w:ascii="Arial" w:eastAsia="Times New Roman" w:hAnsi="Arial" w:cs="Arial"/>
          <w:sz w:val="24"/>
          <w:szCs w:val="24"/>
        </w:rPr>
        <w:t>.</w:t>
      </w:r>
    </w:p>
    <w:p w14:paraId="69207C72" w14:textId="77777777" w:rsidR="00B15845" w:rsidRDefault="00B15845" w:rsidP="00B15845">
      <w:pPr>
        <w:spacing w:after="0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6E5701" w:rsidRPr="001C1DD5" w14:paraId="43D17687" w14:textId="77777777" w:rsidTr="00FB11C3">
        <w:tc>
          <w:tcPr>
            <w:tcW w:w="1129" w:type="dxa"/>
          </w:tcPr>
          <w:p w14:paraId="6FF4B3D6" w14:textId="77777777" w:rsidR="006E5701" w:rsidRPr="001C1DD5" w:rsidRDefault="006E5701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Step #</w:t>
            </w:r>
          </w:p>
        </w:tc>
        <w:tc>
          <w:tcPr>
            <w:tcW w:w="8221" w:type="dxa"/>
          </w:tcPr>
          <w:p w14:paraId="19A40145" w14:textId="77777777" w:rsidR="006E5701" w:rsidRPr="001C1DD5" w:rsidRDefault="006E5701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Instruction</w:t>
            </w:r>
          </w:p>
        </w:tc>
      </w:tr>
      <w:tr w:rsidR="006E5701" w14:paraId="2B7B05FB" w14:textId="77777777" w:rsidTr="00FB11C3">
        <w:tc>
          <w:tcPr>
            <w:tcW w:w="1129" w:type="dxa"/>
          </w:tcPr>
          <w:p w14:paraId="55BCF74D" w14:textId="1BE6C2FB" w:rsidR="006E5701" w:rsidRDefault="00727402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  <w:p w14:paraId="4D683225" w14:textId="77777777" w:rsidR="006E5701" w:rsidRDefault="006E5701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14:paraId="49EFCBCC" w14:textId="7C1C5FDE" w:rsidR="00864FA3" w:rsidRDefault="000A51BA" w:rsidP="00864FA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A51BA">
              <w:rPr>
                <w:rFonts w:ascii="Arial" w:eastAsia="Times New Roman" w:hAnsi="Arial" w:cs="Arial"/>
                <w:sz w:val="24"/>
                <w:szCs w:val="24"/>
              </w:rPr>
              <w:t xml:space="preserve">Under #2a, indicate whether the </w:t>
            </w:r>
            <w:r w:rsidR="00BA14CE">
              <w:rPr>
                <w:rFonts w:ascii="Arial" w:eastAsia="Times New Roman" w:hAnsi="Arial" w:cs="Arial"/>
                <w:sz w:val="24"/>
                <w:szCs w:val="24"/>
              </w:rPr>
              <w:t>distributor</w:t>
            </w:r>
            <w:r w:rsidRPr="000A51BA">
              <w:rPr>
                <w:rFonts w:ascii="Arial" w:eastAsia="Times New Roman" w:hAnsi="Arial" w:cs="Arial"/>
                <w:sz w:val="24"/>
                <w:szCs w:val="24"/>
              </w:rPr>
              <w:t xml:space="preserve"> had any customers that transitioned between Class A and B during the period the Account 1589 GA balance accumulated. If yes, </w:t>
            </w:r>
            <w:r w:rsidR="009D622D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Pr="000A51BA">
              <w:rPr>
                <w:rFonts w:ascii="Arial" w:eastAsia="Times New Roman" w:hAnsi="Arial" w:cs="Arial"/>
                <w:sz w:val="24"/>
                <w:szCs w:val="24"/>
              </w:rPr>
              <w:t>ab 6.1a will be generated.</w:t>
            </w:r>
          </w:p>
          <w:p w14:paraId="315881DF" w14:textId="16EAD4BB" w:rsidR="000A51BA" w:rsidRPr="00526DCD" w:rsidRDefault="000A51BA" w:rsidP="00864FA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A51BA" w14:paraId="12779940" w14:textId="77777777" w:rsidTr="00FB11C3">
        <w:tc>
          <w:tcPr>
            <w:tcW w:w="1129" w:type="dxa"/>
          </w:tcPr>
          <w:p w14:paraId="0BCED4A5" w14:textId="6796D1E4" w:rsidR="000A51BA" w:rsidRDefault="00727402" w:rsidP="000A51BA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  <w:p w14:paraId="169D1D96" w14:textId="77777777" w:rsidR="000A51BA" w:rsidRPr="009A6AA0" w:rsidRDefault="000A51BA" w:rsidP="00FB11C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221" w:type="dxa"/>
          </w:tcPr>
          <w:p w14:paraId="623ECEA4" w14:textId="10858439" w:rsidR="000A51BA" w:rsidRDefault="00A51A1E" w:rsidP="00864FA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51A1E">
              <w:rPr>
                <w:rFonts w:ascii="Arial" w:eastAsia="Times New Roman" w:hAnsi="Arial" w:cs="Arial"/>
                <w:sz w:val="24"/>
                <w:szCs w:val="24"/>
              </w:rPr>
              <w:t xml:space="preserve">Under #2b, indicate whether the </w:t>
            </w:r>
            <w:r w:rsidR="00BA14CE">
              <w:rPr>
                <w:rFonts w:ascii="Arial" w:eastAsia="Times New Roman" w:hAnsi="Arial" w:cs="Arial"/>
                <w:sz w:val="24"/>
                <w:szCs w:val="24"/>
              </w:rPr>
              <w:t>distributor</w:t>
            </w:r>
            <w:r w:rsidRPr="00A51A1E">
              <w:rPr>
                <w:rFonts w:ascii="Arial" w:eastAsia="Times New Roman" w:hAnsi="Arial" w:cs="Arial"/>
                <w:sz w:val="24"/>
                <w:szCs w:val="24"/>
              </w:rPr>
              <w:t xml:space="preserve"> had any customers that transitioned between Class A and B during the period the Account 1580</w:t>
            </w:r>
            <w:r w:rsidR="00051506">
              <w:rPr>
                <w:rFonts w:ascii="Arial" w:eastAsia="Times New Roman" w:hAnsi="Arial" w:cs="Arial"/>
                <w:sz w:val="24"/>
                <w:szCs w:val="24"/>
              </w:rPr>
              <w:t>, Sub-account</w:t>
            </w:r>
            <w:r w:rsidRPr="00A51A1E">
              <w:rPr>
                <w:rFonts w:ascii="Arial" w:eastAsia="Times New Roman" w:hAnsi="Arial" w:cs="Arial"/>
                <w:sz w:val="24"/>
                <w:szCs w:val="24"/>
              </w:rPr>
              <w:t xml:space="preserve"> CBR Class B balance accumulated. If yes, </w:t>
            </w:r>
            <w:r w:rsidR="009D622D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Pr="00A51A1E">
              <w:rPr>
                <w:rFonts w:ascii="Arial" w:eastAsia="Times New Roman" w:hAnsi="Arial" w:cs="Arial"/>
                <w:sz w:val="24"/>
                <w:szCs w:val="24"/>
              </w:rPr>
              <w:t>ab 6.2a will be generated.</w:t>
            </w:r>
          </w:p>
          <w:p w14:paraId="2484B745" w14:textId="10532F00" w:rsidR="00A51A1E" w:rsidRPr="000A51BA" w:rsidRDefault="00A51A1E" w:rsidP="00864FA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51A1E" w14:paraId="1FB1C8C2" w14:textId="77777777" w:rsidTr="00FB11C3">
        <w:tc>
          <w:tcPr>
            <w:tcW w:w="1129" w:type="dxa"/>
          </w:tcPr>
          <w:p w14:paraId="02829217" w14:textId="30933953" w:rsidR="00A51A1E" w:rsidRPr="009A6AA0" w:rsidRDefault="00727402" w:rsidP="000A51BA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8221" w:type="dxa"/>
          </w:tcPr>
          <w:p w14:paraId="51DBCE5A" w14:textId="0AF9F737" w:rsidR="00A51A1E" w:rsidRPr="00A51A1E" w:rsidRDefault="00A51A1E" w:rsidP="00A51A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51A1E">
              <w:rPr>
                <w:rFonts w:ascii="Arial" w:eastAsia="Times New Roman" w:hAnsi="Arial" w:cs="Arial"/>
                <w:sz w:val="24"/>
                <w:szCs w:val="24"/>
              </w:rPr>
              <w:t xml:space="preserve">Under #3a, enter the number of transition customers the </w:t>
            </w:r>
            <w:r w:rsidR="00BA14CE">
              <w:rPr>
                <w:rFonts w:ascii="Arial" w:eastAsia="Times New Roman" w:hAnsi="Arial" w:cs="Arial"/>
                <w:sz w:val="24"/>
                <w:szCs w:val="24"/>
              </w:rPr>
              <w:t>distributor</w:t>
            </w:r>
            <w:r w:rsidRPr="00A51A1E">
              <w:rPr>
                <w:rFonts w:ascii="Arial" w:eastAsia="Times New Roman" w:hAnsi="Arial" w:cs="Arial"/>
                <w:sz w:val="24"/>
                <w:szCs w:val="24"/>
              </w:rPr>
              <w:t xml:space="preserve"> had during the period the Account 1589 GA or Account 1580</w:t>
            </w:r>
            <w:r w:rsidR="00DE6DCD">
              <w:rPr>
                <w:rFonts w:ascii="Arial" w:eastAsia="Times New Roman" w:hAnsi="Arial" w:cs="Arial"/>
                <w:sz w:val="24"/>
                <w:szCs w:val="24"/>
              </w:rPr>
              <w:t>, Sub-account</w:t>
            </w:r>
            <w:r w:rsidRPr="00A51A1E">
              <w:rPr>
                <w:rFonts w:ascii="Arial" w:eastAsia="Times New Roman" w:hAnsi="Arial" w:cs="Arial"/>
                <w:sz w:val="24"/>
                <w:szCs w:val="24"/>
              </w:rPr>
              <w:t xml:space="preserve"> CBR Class B balances accumulated.  A table will be generated based on the number of customers. </w:t>
            </w:r>
          </w:p>
          <w:p w14:paraId="788833B9" w14:textId="77777777" w:rsidR="00A51A1E" w:rsidRPr="00A51A1E" w:rsidRDefault="00A51A1E" w:rsidP="00A51A1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C354907" w14:textId="38F85A5C" w:rsidR="00A51A1E" w:rsidRPr="00A51A1E" w:rsidRDefault="00A51A1E" w:rsidP="00A51A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51A1E">
              <w:rPr>
                <w:rFonts w:ascii="Arial" w:eastAsia="Times New Roman" w:hAnsi="Arial" w:cs="Arial"/>
                <w:sz w:val="24"/>
                <w:szCs w:val="24"/>
              </w:rPr>
              <w:t>Complete the table accordingly for each transition customer identified (</w:t>
            </w:r>
            <w:proofErr w:type="gramStart"/>
            <w:r w:rsidRPr="00A51A1E">
              <w:rPr>
                <w:rFonts w:ascii="Arial" w:eastAsia="Times New Roman" w:hAnsi="Arial" w:cs="Arial"/>
                <w:sz w:val="24"/>
                <w:szCs w:val="24"/>
              </w:rPr>
              <w:t>i.e.</w:t>
            </w:r>
            <w:proofErr w:type="gramEnd"/>
            <w:r w:rsidRPr="00A51A1E">
              <w:rPr>
                <w:rFonts w:ascii="Arial" w:eastAsia="Times New Roman" w:hAnsi="Arial" w:cs="Arial"/>
                <w:sz w:val="24"/>
                <w:szCs w:val="24"/>
              </w:rPr>
              <w:t xml:space="preserve"> kWh/kW for half</w:t>
            </w:r>
            <w:r w:rsidR="00C7466A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A51A1E">
              <w:rPr>
                <w:rFonts w:ascii="Arial" w:eastAsia="Times New Roman" w:hAnsi="Arial" w:cs="Arial"/>
                <w:sz w:val="24"/>
                <w:szCs w:val="24"/>
              </w:rPr>
              <w:t>year periods, and the customer class during the half</w:t>
            </w:r>
            <w:r w:rsidR="00C7466A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A51A1E">
              <w:rPr>
                <w:rFonts w:ascii="Arial" w:eastAsia="Times New Roman" w:hAnsi="Arial" w:cs="Arial"/>
                <w:sz w:val="24"/>
                <w:szCs w:val="24"/>
              </w:rPr>
              <w:t>year</w:t>
            </w:r>
            <w:r w:rsidR="00C7466A">
              <w:rPr>
                <w:rFonts w:ascii="Arial" w:eastAsia="Times New Roman" w:hAnsi="Arial" w:cs="Arial"/>
                <w:sz w:val="24"/>
                <w:szCs w:val="24"/>
              </w:rPr>
              <w:t xml:space="preserve"> period</w:t>
            </w:r>
            <w:r w:rsidRPr="00A51A1E">
              <w:rPr>
                <w:rFonts w:ascii="Arial" w:eastAsia="Times New Roman" w:hAnsi="Arial" w:cs="Arial"/>
                <w:sz w:val="24"/>
                <w:szCs w:val="24"/>
              </w:rPr>
              <w:t xml:space="preserve">). This data will automatically be used in the GA balance and CBR Class B balance allocation to transition customers in </w:t>
            </w:r>
            <w:r w:rsidR="009D622D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Pr="00A51A1E">
              <w:rPr>
                <w:rFonts w:ascii="Arial" w:eastAsia="Times New Roman" w:hAnsi="Arial" w:cs="Arial"/>
                <w:sz w:val="24"/>
                <w:szCs w:val="24"/>
              </w:rPr>
              <w:t xml:space="preserve">abs 6.1a. and 6.2a., respectively. </w:t>
            </w:r>
          </w:p>
          <w:p w14:paraId="662B2185" w14:textId="134C3658" w:rsidR="00DF3899" w:rsidRPr="00A51A1E" w:rsidRDefault="00DF3899" w:rsidP="00AB2D58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1621" w14:paraId="20A2A172" w14:textId="77777777" w:rsidTr="00FB11C3">
        <w:tc>
          <w:tcPr>
            <w:tcW w:w="1129" w:type="dxa"/>
          </w:tcPr>
          <w:p w14:paraId="0A2F987B" w14:textId="2AAF47C7" w:rsidR="00981621" w:rsidRPr="009A6AA0" w:rsidRDefault="00727402" w:rsidP="000A51BA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14:paraId="38A65DAE" w14:textId="274CB744" w:rsidR="00DF3899" w:rsidRPr="00DF3899" w:rsidRDefault="00DF3899" w:rsidP="00DF38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F3899">
              <w:rPr>
                <w:rFonts w:ascii="Arial" w:eastAsia="Times New Roman" w:hAnsi="Arial" w:cs="Arial"/>
                <w:sz w:val="24"/>
                <w:szCs w:val="24"/>
              </w:rPr>
              <w:t xml:space="preserve">Under #3b, enter the number of rate classes in which there were </w:t>
            </w:r>
            <w:r w:rsidR="008547C4" w:rsidRPr="00DF3899">
              <w:rPr>
                <w:rFonts w:ascii="Arial" w:eastAsia="Times New Roman" w:hAnsi="Arial" w:cs="Arial"/>
                <w:sz w:val="24"/>
                <w:szCs w:val="24"/>
              </w:rPr>
              <w:t>full</w:t>
            </w:r>
            <w:r w:rsidR="008547C4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DF3899">
              <w:rPr>
                <w:rFonts w:ascii="Arial" w:eastAsia="Times New Roman" w:hAnsi="Arial" w:cs="Arial"/>
                <w:sz w:val="24"/>
                <w:szCs w:val="24"/>
              </w:rPr>
              <w:t>year Class A customers during the period the Account 1589 GA balance or Account 1580</w:t>
            </w:r>
            <w:r w:rsidR="00051506">
              <w:rPr>
                <w:rFonts w:ascii="Arial" w:eastAsia="Times New Roman" w:hAnsi="Arial" w:cs="Arial"/>
                <w:sz w:val="24"/>
                <w:szCs w:val="24"/>
              </w:rPr>
              <w:t>, Sub-account</w:t>
            </w:r>
            <w:r w:rsidRPr="00DF3899">
              <w:rPr>
                <w:rFonts w:ascii="Arial" w:eastAsia="Times New Roman" w:hAnsi="Arial" w:cs="Arial"/>
                <w:sz w:val="24"/>
                <w:szCs w:val="24"/>
              </w:rPr>
              <w:t xml:space="preserve"> CBR Class B balance accumulated and </w:t>
            </w:r>
            <w:r w:rsidR="009A1859">
              <w:rPr>
                <w:rFonts w:ascii="Arial" w:eastAsia="Times New Roman" w:hAnsi="Arial" w:cs="Arial"/>
                <w:sz w:val="24"/>
                <w:szCs w:val="24"/>
              </w:rPr>
              <w:t xml:space="preserve">in </w:t>
            </w:r>
            <w:r w:rsidRPr="00DF3899">
              <w:rPr>
                <w:rFonts w:ascii="Arial" w:eastAsia="Times New Roman" w:hAnsi="Arial" w:cs="Arial"/>
                <w:sz w:val="24"/>
                <w:szCs w:val="24"/>
              </w:rPr>
              <w:t>the test year. These full</w:t>
            </w:r>
            <w:r w:rsidR="009A1859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DF3899">
              <w:rPr>
                <w:rFonts w:ascii="Arial" w:eastAsia="Times New Roman" w:hAnsi="Arial" w:cs="Arial"/>
                <w:sz w:val="24"/>
                <w:szCs w:val="24"/>
              </w:rPr>
              <w:t xml:space="preserve">year Class A customers should include any transition customers identified in table 3a above that were Class A customers for the full year before/after the transition year. A table will be generated based on the number of rate classes. </w:t>
            </w:r>
          </w:p>
          <w:p w14:paraId="6164A471" w14:textId="77777777" w:rsidR="00DF3899" w:rsidRPr="00DF3899" w:rsidRDefault="00DF3899" w:rsidP="00DF389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D08525B" w14:textId="2DEB8129" w:rsidR="00981621" w:rsidRDefault="00DF3899" w:rsidP="00DF389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F389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Complete the table accordingly for each rate class identified (</w:t>
            </w:r>
            <w:proofErr w:type="gramStart"/>
            <w:r w:rsidRPr="00DF3899">
              <w:rPr>
                <w:rFonts w:ascii="Arial" w:eastAsia="Times New Roman" w:hAnsi="Arial" w:cs="Arial"/>
                <w:sz w:val="24"/>
                <w:szCs w:val="24"/>
              </w:rPr>
              <w:t>i.e.</w:t>
            </w:r>
            <w:proofErr w:type="gramEnd"/>
            <w:r w:rsidRPr="00DF3899">
              <w:rPr>
                <w:rFonts w:ascii="Arial" w:eastAsia="Times New Roman" w:hAnsi="Arial" w:cs="Arial"/>
                <w:sz w:val="24"/>
                <w:szCs w:val="24"/>
              </w:rPr>
              <w:t xml:space="preserve"> the total Class A consumption in the rate class for each year; and a forecast of total Class A and B consumption for transition and full</w:t>
            </w:r>
            <w:r w:rsidR="009A1859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DF3899">
              <w:rPr>
                <w:rFonts w:ascii="Arial" w:eastAsia="Times New Roman" w:hAnsi="Arial" w:cs="Arial"/>
                <w:sz w:val="24"/>
                <w:szCs w:val="24"/>
              </w:rPr>
              <w:t>year Class A customers in the test year). This data will be used in the calculation of billing determinants for GA and CBR Class B, as applicable.</w:t>
            </w:r>
          </w:p>
          <w:p w14:paraId="5EF964F3" w14:textId="025EE1C7" w:rsidR="00DF3899" w:rsidRPr="00A51A1E" w:rsidRDefault="00DF3899" w:rsidP="00DF389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9A129FA" w14:textId="77777777" w:rsidR="006E5701" w:rsidRDefault="006E5701" w:rsidP="006E5701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26D433B7" w14:textId="77777777" w:rsidR="006E5701" w:rsidRDefault="006E5701" w:rsidP="00DF011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B34EE">
        <w:rPr>
          <w:rFonts w:ascii="Arial" w:hAnsi="Arial" w:cs="Arial"/>
          <w:sz w:val="24"/>
          <w:szCs w:val="24"/>
          <w:u w:val="single"/>
        </w:rPr>
        <w:t>Notes</w:t>
      </w:r>
      <w:r>
        <w:rPr>
          <w:rFonts w:ascii="Arial" w:hAnsi="Arial" w:cs="Arial"/>
          <w:sz w:val="24"/>
          <w:szCs w:val="24"/>
        </w:rPr>
        <w:t>:</w:t>
      </w:r>
    </w:p>
    <w:p w14:paraId="5D3BE277" w14:textId="451F82EB" w:rsidR="00AB2D58" w:rsidRPr="00A51A1E" w:rsidRDefault="00AB2D58" w:rsidP="00DF0112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</w:t>
      </w:r>
      <w:r w:rsidRPr="00A51A1E">
        <w:rPr>
          <w:rFonts w:ascii="Arial" w:eastAsia="Times New Roman" w:hAnsi="Arial" w:cs="Arial"/>
          <w:sz w:val="24"/>
          <w:szCs w:val="24"/>
        </w:rPr>
        <w:t xml:space="preserve">ach transition customer identified in </w:t>
      </w:r>
      <w:r w:rsidR="009D622D">
        <w:rPr>
          <w:rFonts w:ascii="Arial" w:eastAsia="Times New Roman" w:hAnsi="Arial" w:cs="Arial"/>
          <w:sz w:val="24"/>
          <w:szCs w:val="24"/>
        </w:rPr>
        <w:t>T</w:t>
      </w:r>
      <w:r w:rsidRPr="00A51A1E">
        <w:rPr>
          <w:rFonts w:ascii="Arial" w:eastAsia="Times New Roman" w:hAnsi="Arial" w:cs="Arial"/>
          <w:sz w:val="24"/>
          <w:szCs w:val="24"/>
        </w:rPr>
        <w:t xml:space="preserve">ab 6, table 3a will be assigned a customer number and the number will correspond to the same transition customers populated in </w:t>
      </w:r>
      <w:r w:rsidR="00750FE7">
        <w:rPr>
          <w:rFonts w:ascii="Arial" w:eastAsia="Times New Roman" w:hAnsi="Arial" w:cs="Arial"/>
          <w:sz w:val="24"/>
          <w:szCs w:val="24"/>
        </w:rPr>
        <w:t>T</w:t>
      </w:r>
      <w:r w:rsidRPr="00A51A1E">
        <w:rPr>
          <w:rFonts w:ascii="Arial" w:eastAsia="Times New Roman" w:hAnsi="Arial" w:cs="Arial"/>
          <w:sz w:val="24"/>
          <w:szCs w:val="24"/>
        </w:rPr>
        <w:t xml:space="preserve">abs 6.1a. and 6.2a.  </w:t>
      </w:r>
    </w:p>
    <w:p w14:paraId="5D6BE1CB" w14:textId="77777777" w:rsidR="00AB2D58" w:rsidRPr="00A51A1E" w:rsidRDefault="00AB2D58" w:rsidP="00DF0112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0EC21E89" w14:textId="173C0733" w:rsidR="00AB2D58" w:rsidRDefault="00A17231" w:rsidP="00DF0112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Also </w:t>
      </w:r>
      <w:r w:rsidR="00AB2D58" w:rsidRPr="00A51A1E">
        <w:rPr>
          <w:rFonts w:ascii="Arial" w:eastAsia="Times New Roman" w:hAnsi="Arial" w:cs="Arial"/>
          <w:sz w:val="24"/>
          <w:szCs w:val="24"/>
        </w:rPr>
        <w:t xml:space="preserve">note that the transition customers </w:t>
      </w:r>
      <w:r w:rsidR="00117AC0">
        <w:rPr>
          <w:rFonts w:ascii="Arial" w:eastAsia="Times New Roman" w:hAnsi="Arial" w:cs="Arial"/>
          <w:sz w:val="24"/>
          <w:szCs w:val="24"/>
        </w:rPr>
        <w:t xml:space="preserve">in table 3a </w:t>
      </w:r>
      <w:r w:rsidR="00AB2D58" w:rsidRPr="00A51A1E">
        <w:rPr>
          <w:rFonts w:ascii="Arial" w:eastAsia="Times New Roman" w:hAnsi="Arial" w:cs="Arial"/>
          <w:sz w:val="24"/>
          <w:szCs w:val="24"/>
        </w:rPr>
        <w:t xml:space="preserve">identified for the GA may be different </w:t>
      </w:r>
      <w:r w:rsidR="004330FD">
        <w:rPr>
          <w:rFonts w:ascii="Arial" w:eastAsia="Times New Roman" w:hAnsi="Arial" w:cs="Arial"/>
          <w:sz w:val="24"/>
          <w:szCs w:val="24"/>
        </w:rPr>
        <w:t>from</w:t>
      </w:r>
      <w:r w:rsidR="004330FD" w:rsidRPr="00A51A1E">
        <w:rPr>
          <w:rFonts w:ascii="Arial" w:eastAsia="Times New Roman" w:hAnsi="Arial" w:cs="Arial"/>
          <w:sz w:val="24"/>
          <w:szCs w:val="24"/>
        </w:rPr>
        <w:t xml:space="preserve"> </w:t>
      </w:r>
      <w:r w:rsidR="00AB2D58" w:rsidRPr="00A51A1E">
        <w:rPr>
          <w:rFonts w:ascii="Arial" w:eastAsia="Times New Roman" w:hAnsi="Arial" w:cs="Arial"/>
          <w:sz w:val="24"/>
          <w:szCs w:val="24"/>
        </w:rPr>
        <w:t xml:space="preserve">those </w:t>
      </w:r>
      <w:r w:rsidR="004330FD">
        <w:rPr>
          <w:rFonts w:ascii="Arial" w:eastAsia="Times New Roman" w:hAnsi="Arial" w:cs="Arial"/>
          <w:sz w:val="24"/>
          <w:szCs w:val="24"/>
        </w:rPr>
        <w:t xml:space="preserve">identified </w:t>
      </w:r>
      <w:r w:rsidR="00AB2D58" w:rsidRPr="00A51A1E">
        <w:rPr>
          <w:rFonts w:ascii="Arial" w:eastAsia="Times New Roman" w:hAnsi="Arial" w:cs="Arial"/>
          <w:sz w:val="24"/>
          <w:szCs w:val="24"/>
        </w:rPr>
        <w:t>for CBR Class B. This would depend on the period in which the GA and CBR Class B balances accumulated.</w:t>
      </w:r>
    </w:p>
    <w:p w14:paraId="70CEBDFC" w14:textId="77777777" w:rsidR="008638A5" w:rsidRDefault="008638A5" w:rsidP="00AB2D58">
      <w:pPr>
        <w:rPr>
          <w:rFonts w:ascii="Arial" w:eastAsia="Times New Roman" w:hAnsi="Arial" w:cs="Arial"/>
          <w:sz w:val="24"/>
          <w:szCs w:val="24"/>
        </w:rPr>
      </w:pPr>
    </w:p>
    <w:p w14:paraId="4C93330D" w14:textId="12208BFA" w:rsidR="008638A5" w:rsidRDefault="008638A5" w:rsidP="005A14E7">
      <w:pPr>
        <w:pStyle w:val="Heading3"/>
        <w:spacing w:after="100" w:afterAutospacing="1"/>
        <w:rPr>
          <w:rFonts w:ascii="Cambria" w:eastAsia="Times New Roman" w:hAnsi="Cambria" w:cs="Arial"/>
          <w:b/>
          <w:bCs/>
          <w:sz w:val="28"/>
          <w:szCs w:val="28"/>
          <w:u w:val="single"/>
        </w:rPr>
      </w:pP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Tab </w:t>
      </w:r>
      <w:r>
        <w:rPr>
          <w:rFonts w:ascii="Cambria" w:eastAsia="Times New Roman" w:hAnsi="Cambria" w:cs="Arial"/>
          <w:b/>
          <w:bCs/>
          <w:sz w:val="28"/>
          <w:szCs w:val="28"/>
          <w:u w:val="single"/>
        </w:rPr>
        <w:t>6.1a</w:t>
      </w: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 – </w:t>
      </w:r>
      <w:r>
        <w:rPr>
          <w:rFonts w:ascii="Cambria" w:eastAsia="Times New Roman" w:hAnsi="Cambria" w:cs="Arial"/>
          <w:b/>
          <w:bCs/>
          <w:sz w:val="28"/>
          <w:szCs w:val="28"/>
          <w:u w:val="single"/>
        </w:rPr>
        <w:t>GA Allocation</w:t>
      </w:r>
    </w:p>
    <w:p w14:paraId="541EE494" w14:textId="27408BD7" w:rsidR="00D41192" w:rsidRDefault="00D41192" w:rsidP="00D41192">
      <w:pPr>
        <w:spacing w:after="0"/>
        <w:rPr>
          <w:rFonts w:ascii="Arial" w:hAnsi="Arial" w:cs="Arial"/>
          <w:sz w:val="24"/>
          <w:szCs w:val="24"/>
        </w:rPr>
      </w:pPr>
      <w:r w:rsidRPr="007451C7">
        <w:rPr>
          <w:rFonts w:ascii="Arial" w:hAnsi="Arial" w:cs="Arial"/>
          <w:sz w:val="24"/>
          <w:szCs w:val="24"/>
        </w:rPr>
        <w:t xml:space="preserve">This tab is generated when the </w:t>
      </w:r>
      <w:r w:rsidR="00BA14CE">
        <w:rPr>
          <w:rFonts w:ascii="Arial" w:hAnsi="Arial" w:cs="Arial"/>
          <w:sz w:val="24"/>
          <w:szCs w:val="24"/>
        </w:rPr>
        <w:t>distributor</w:t>
      </w:r>
      <w:r w:rsidRPr="007451C7">
        <w:rPr>
          <w:rFonts w:ascii="Arial" w:hAnsi="Arial" w:cs="Arial"/>
          <w:sz w:val="24"/>
          <w:szCs w:val="24"/>
        </w:rPr>
        <w:t xml:space="preserve"> indicates that they had transition customers in </w:t>
      </w:r>
      <w:r w:rsidR="006729C1">
        <w:rPr>
          <w:rFonts w:ascii="Arial" w:hAnsi="Arial" w:cs="Arial"/>
          <w:sz w:val="24"/>
          <w:szCs w:val="24"/>
        </w:rPr>
        <w:t>T</w:t>
      </w:r>
      <w:r w:rsidRPr="007451C7">
        <w:rPr>
          <w:rFonts w:ascii="Arial" w:hAnsi="Arial" w:cs="Arial"/>
          <w:sz w:val="24"/>
          <w:szCs w:val="24"/>
        </w:rPr>
        <w:t>ab 6, #2a during the period the GA balance accumulated.</w:t>
      </w:r>
    </w:p>
    <w:p w14:paraId="1A3E53DC" w14:textId="77777777" w:rsidR="00663242" w:rsidRDefault="00663242" w:rsidP="00D41192">
      <w:pPr>
        <w:spacing w:after="0"/>
        <w:rPr>
          <w:rFonts w:ascii="Arial" w:hAnsi="Arial" w:cs="Arial"/>
          <w:sz w:val="24"/>
          <w:szCs w:val="24"/>
        </w:rPr>
      </w:pPr>
    </w:p>
    <w:p w14:paraId="05A6BE34" w14:textId="2AF7C9BC" w:rsidR="00115813" w:rsidRDefault="00620452" w:rsidP="001158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15813" w:rsidRPr="00115813">
        <w:rPr>
          <w:rFonts w:ascii="Arial" w:hAnsi="Arial" w:cs="Arial"/>
          <w:sz w:val="24"/>
          <w:szCs w:val="24"/>
        </w:rPr>
        <w:t>his tab allocates the GA balance to each transition customer for the period in which these customers were Class B customers and contributed to the GA balance (</w:t>
      </w:r>
      <w:proofErr w:type="gramStart"/>
      <w:r w:rsidR="00115813" w:rsidRPr="00115813">
        <w:rPr>
          <w:rFonts w:ascii="Arial" w:hAnsi="Arial" w:cs="Arial"/>
          <w:sz w:val="24"/>
          <w:szCs w:val="24"/>
        </w:rPr>
        <w:t>i.e.</w:t>
      </w:r>
      <w:proofErr w:type="gramEnd"/>
      <w:r w:rsidR="00115813" w:rsidRPr="00115813">
        <w:rPr>
          <w:rFonts w:ascii="Arial" w:hAnsi="Arial" w:cs="Arial"/>
          <w:sz w:val="24"/>
          <w:szCs w:val="24"/>
        </w:rPr>
        <w:t xml:space="preserve"> former Class B customers who contributed to the GA balance but are now Class A customers, and former Class A customers who are now Class B customers contributing to the GA balance).</w:t>
      </w:r>
    </w:p>
    <w:p w14:paraId="32C1B29E" w14:textId="77777777" w:rsidR="00B15845" w:rsidRPr="00115813" w:rsidRDefault="00B15845" w:rsidP="00B1584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115813" w:rsidRPr="001C1DD5" w14:paraId="28022A0F" w14:textId="77777777" w:rsidTr="00FB11C3">
        <w:tc>
          <w:tcPr>
            <w:tcW w:w="1129" w:type="dxa"/>
          </w:tcPr>
          <w:p w14:paraId="19E7BBF0" w14:textId="77777777" w:rsidR="00115813" w:rsidRPr="001C1DD5" w:rsidRDefault="00115813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Step #</w:t>
            </w:r>
          </w:p>
        </w:tc>
        <w:tc>
          <w:tcPr>
            <w:tcW w:w="8221" w:type="dxa"/>
          </w:tcPr>
          <w:p w14:paraId="6A21A6A0" w14:textId="77777777" w:rsidR="00115813" w:rsidRPr="001C1DD5" w:rsidRDefault="00115813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Instruction</w:t>
            </w:r>
          </w:p>
        </w:tc>
      </w:tr>
      <w:tr w:rsidR="00115813" w:rsidRPr="00526DCD" w14:paraId="3E938576" w14:textId="77777777" w:rsidTr="00FB11C3">
        <w:tc>
          <w:tcPr>
            <w:tcW w:w="1129" w:type="dxa"/>
          </w:tcPr>
          <w:p w14:paraId="7614446F" w14:textId="512638F5" w:rsidR="00115813" w:rsidRDefault="00727402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  <w:p w14:paraId="02923F01" w14:textId="77777777" w:rsidR="00115813" w:rsidRDefault="00115813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14:paraId="0AB398F1" w14:textId="77777777" w:rsidR="00115813" w:rsidRDefault="000662D6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662D6">
              <w:rPr>
                <w:rFonts w:ascii="Arial" w:eastAsia="Times New Roman" w:hAnsi="Arial" w:cs="Arial"/>
                <w:sz w:val="24"/>
                <w:szCs w:val="24"/>
              </w:rPr>
              <w:t xml:space="preserve">Enter the Non-RPP consumption less WMP consumption in the first table. </w:t>
            </w:r>
          </w:p>
          <w:p w14:paraId="53EA57A7" w14:textId="77777777" w:rsidR="000662D6" w:rsidRDefault="000662D6" w:rsidP="000662D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FF105F" w14:textId="0F3E88C1" w:rsidR="000662D6" w:rsidRPr="000662D6" w:rsidRDefault="000662D6" w:rsidP="000662D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662D6">
              <w:rPr>
                <w:rFonts w:ascii="Arial" w:eastAsia="Times New Roman" w:hAnsi="Arial" w:cs="Arial"/>
                <w:sz w:val="24"/>
                <w:szCs w:val="24"/>
              </w:rPr>
              <w:t xml:space="preserve">The rest of the information in this tab will be auto-populated and </w:t>
            </w:r>
            <w:r w:rsidR="003172A7">
              <w:rPr>
                <w:rFonts w:ascii="Arial" w:eastAsia="Times New Roman" w:hAnsi="Arial" w:cs="Arial"/>
                <w:sz w:val="24"/>
                <w:szCs w:val="24"/>
              </w:rPr>
              <w:t xml:space="preserve">the information </w:t>
            </w:r>
            <w:r w:rsidR="008C07E7">
              <w:rPr>
                <w:rFonts w:ascii="Arial" w:eastAsia="Times New Roman" w:hAnsi="Arial" w:cs="Arial"/>
                <w:sz w:val="24"/>
                <w:szCs w:val="24"/>
              </w:rPr>
              <w:t>is used to</w:t>
            </w:r>
            <w:r w:rsidR="006632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0662D6">
              <w:rPr>
                <w:rFonts w:ascii="Arial" w:eastAsia="Times New Roman" w:hAnsi="Arial" w:cs="Arial"/>
                <w:sz w:val="24"/>
                <w:szCs w:val="24"/>
              </w:rPr>
              <w:t>calculate the customer</w:t>
            </w:r>
            <w:r w:rsidR="003172A7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0662D6">
              <w:rPr>
                <w:rFonts w:ascii="Arial" w:eastAsia="Times New Roman" w:hAnsi="Arial" w:cs="Arial"/>
                <w:sz w:val="24"/>
                <w:szCs w:val="24"/>
              </w:rPr>
              <w:t xml:space="preserve">specific allocation of the GA balance to transition customers in the bottom table. </w:t>
            </w:r>
          </w:p>
          <w:p w14:paraId="53FA2613" w14:textId="4C704929" w:rsidR="000662D6" w:rsidRPr="00526DCD" w:rsidRDefault="000662D6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3070932" w14:textId="77777777" w:rsidR="00D34A60" w:rsidRDefault="00D34A60" w:rsidP="00D34A60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859FE7A" w14:textId="5B666A40" w:rsidR="00D34A60" w:rsidRDefault="00D34A60" w:rsidP="00D34A60">
      <w:pPr>
        <w:spacing w:after="0"/>
        <w:rPr>
          <w:rFonts w:ascii="Arial" w:hAnsi="Arial" w:cs="Arial"/>
          <w:sz w:val="24"/>
          <w:szCs w:val="24"/>
        </w:rPr>
      </w:pPr>
      <w:r w:rsidRPr="002B34EE">
        <w:rPr>
          <w:rFonts w:ascii="Arial" w:hAnsi="Arial" w:cs="Arial"/>
          <w:sz w:val="24"/>
          <w:szCs w:val="24"/>
          <w:u w:val="single"/>
        </w:rPr>
        <w:t>Notes</w:t>
      </w:r>
      <w:r>
        <w:rPr>
          <w:rFonts w:ascii="Arial" w:hAnsi="Arial" w:cs="Arial"/>
          <w:sz w:val="24"/>
          <w:szCs w:val="24"/>
        </w:rPr>
        <w:t>:</w:t>
      </w:r>
    </w:p>
    <w:p w14:paraId="6BC9DA55" w14:textId="14D6DD54" w:rsidR="009D12B1" w:rsidRDefault="009D12B1" w:rsidP="009D12B1">
      <w:pPr>
        <w:rPr>
          <w:rFonts w:ascii="Arial" w:eastAsia="Times New Roman" w:hAnsi="Arial" w:cs="Arial"/>
          <w:sz w:val="24"/>
          <w:szCs w:val="24"/>
        </w:rPr>
      </w:pPr>
      <w:r w:rsidRPr="00B51088">
        <w:rPr>
          <w:rFonts w:ascii="Arial" w:eastAsia="Times New Roman" w:hAnsi="Arial" w:cs="Arial"/>
          <w:sz w:val="24"/>
          <w:szCs w:val="24"/>
        </w:rPr>
        <w:t xml:space="preserve">The Continuity Schedule will allocate the portion of Account 1589 </w:t>
      </w:r>
      <w:r w:rsidR="006729C1">
        <w:rPr>
          <w:rFonts w:ascii="Arial" w:eastAsia="Times New Roman" w:hAnsi="Arial" w:cs="Arial"/>
          <w:sz w:val="24"/>
          <w:szCs w:val="24"/>
        </w:rPr>
        <w:t xml:space="preserve">GA </w:t>
      </w:r>
      <w:r w:rsidRPr="00B51088">
        <w:rPr>
          <w:rFonts w:ascii="Arial" w:eastAsia="Times New Roman" w:hAnsi="Arial" w:cs="Arial"/>
          <w:sz w:val="24"/>
          <w:szCs w:val="24"/>
        </w:rPr>
        <w:t>to customers who transitioned between Class A and Class B, during the period in which the balance requested for disposition accumulated, based on customer-specific consumption levels. Each transitioning customer will only be responsible for the customer-specific amount allocated to them and are not to be charged/refunded the general GA rate rider</w:t>
      </w:r>
      <w:r w:rsidR="00722FBE">
        <w:rPr>
          <w:rFonts w:ascii="Arial" w:eastAsia="Times New Roman" w:hAnsi="Arial" w:cs="Arial"/>
          <w:sz w:val="24"/>
          <w:szCs w:val="24"/>
        </w:rPr>
        <w:t xml:space="preserve"> calculated in </w:t>
      </w:r>
      <w:r w:rsidR="00601AA1">
        <w:rPr>
          <w:rFonts w:ascii="Arial" w:eastAsia="Times New Roman" w:hAnsi="Arial" w:cs="Arial"/>
          <w:sz w:val="24"/>
          <w:szCs w:val="24"/>
        </w:rPr>
        <w:t>T</w:t>
      </w:r>
      <w:r w:rsidR="00722FBE">
        <w:rPr>
          <w:rFonts w:ascii="Arial" w:eastAsia="Times New Roman" w:hAnsi="Arial" w:cs="Arial"/>
          <w:sz w:val="24"/>
          <w:szCs w:val="24"/>
        </w:rPr>
        <w:t>ab 7</w:t>
      </w:r>
      <w:r w:rsidRPr="00B51088">
        <w:rPr>
          <w:rFonts w:ascii="Arial" w:eastAsia="Times New Roman" w:hAnsi="Arial" w:cs="Arial"/>
          <w:sz w:val="24"/>
          <w:szCs w:val="24"/>
        </w:rPr>
        <w:t xml:space="preserve">. Customers should be charged in a consistent manner for the entire </w:t>
      </w:r>
      <w:r w:rsidRPr="00B51088">
        <w:rPr>
          <w:rFonts w:ascii="Arial" w:eastAsia="Times New Roman" w:hAnsi="Arial" w:cs="Arial"/>
          <w:sz w:val="24"/>
          <w:szCs w:val="24"/>
        </w:rPr>
        <w:lastRenderedPageBreak/>
        <w:t>rate rider period until the sunset date, regardless of whether customers transitioned between Class A and Class B during the disposition period.</w:t>
      </w:r>
    </w:p>
    <w:p w14:paraId="254A328A" w14:textId="77777777" w:rsidR="007168AA" w:rsidRDefault="007168AA" w:rsidP="009D12B1">
      <w:pPr>
        <w:rPr>
          <w:rFonts w:ascii="Arial" w:eastAsia="Times New Roman" w:hAnsi="Arial" w:cs="Arial"/>
          <w:sz w:val="24"/>
          <w:szCs w:val="24"/>
        </w:rPr>
      </w:pPr>
    </w:p>
    <w:p w14:paraId="7A45B338" w14:textId="3176EFCE" w:rsidR="001F21F9" w:rsidRDefault="001F21F9" w:rsidP="00B15845">
      <w:pPr>
        <w:pStyle w:val="Heading3"/>
        <w:spacing w:after="100" w:afterAutospacing="1"/>
        <w:rPr>
          <w:rFonts w:ascii="Cambria" w:eastAsia="Times New Roman" w:hAnsi="Cambria" w:cs="Arial"/>
          <w:b/>
          <w:bCs/>
          <w:sz w:val="28"/>
          <w:szCs w:val="28"/>
          <w:u w:val="single"/>
        </w:rPr>
      </w:pP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Tab </w:t>
      </w:r>
      <w:r>
        <w:rPr>
          <w:rFonts w:ascii="Cambria" w:eastAsia="Times New Roman" w:hAnsi="Cambria" w:cs="Arial"/>
          <w:b/>
          <w:bCs/>
          <w:sz w:val="28"/>
          <w:szCs w:val="28"/>
          <w:u w:val="single"/>
        </w:rPr>
        <w:t>6.</w:t>
      </w:r>
      <w:r w:rsidR="00984B0C">
        <w:rPr>
          <w:rFonts w:ascii="Cambria" w:eastAsia="Times New Roman" w:hAnsi="Cambria" w:cs="Arial"/>
          <w:b/>
          <w:bCs/>
          <w:sz w:val="28"/>
          <w:szCs w:val="28"/>
          <w:u w:val="single"/>
        </w:rPr>
        <w:t>2</w:t>
      </w: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 – </w:t>
      </w:r>
      <w:r w:rsidR="00984B0C">
        <w:rPr>
          <w:rFonts w:ascii="Cambria" w:eastAsia="Times New Roman" w:hAnsi="Cambria" w:cs="Arial"/>
          <w:b/>
          <w:bCs/>
          <w:sz w:val="28"/>
          <w:szCs w:val="28"/>
          <w:u w:val="single"/>
        </w:rPr>
        <w:t>CBR</w:t>
      </w:r>
    </w:p>
    <w:p w14:paraId="36AE9409" w14:textId="54ADD043" w:rsidR="00476814" w:rsidRDefault="00476814" w:rsidP="00476814">
      <w:pPr>
        <w:spacing w:after="0"/>
        <w:rPr>
          <w:rFonts w:ascii="Arial" w:hAnsi="Arial" w:cs="Arial"/>
          <w:sz w:val="24"/>
          <w:szCs w:val="24"/>
        </w:rPr>
      </w:pPr>
      <w:r w:rsidRPr="00FA604E">
        <w:rPr>
          <w:rFonts w:ascii="Arial" w:hAnsi="Arial" w:cs="Arial"/>
          <w:sz w:val="24"/>
          <w:szCs w:val="24"/>
        </w:rPr>
        <w:t xml:space="preserve">This tab is generated when the response to question 6 in </w:t>
      </w:r>
      <w:r w:rsidR="003E6A57">
        <w:rPr>
          <w:rFonts w:ascii="Arial" w:hAnsi="Arial" w:cs="Arial"/>
          <w:sz w:val="24"/>
          <w:szCs w:val="24"/>
        </w:rPr>
        <w:t>T</w:t>
      </w:r>
      <w:r w:rsidRPr="00FA604E">
        <w:rPr>
          <w:rFonts w:ascii="Arial" w:hAnsi="Arial" w:cs="Arial"/>
          <w:sz w:val="24"/>
          <w:szCs w:val="24"/>
        </w:rPr>
        <w:t xml:space="preserve">ab 1 is "yes", indicating that they had Class A customers during the period that Account 1580, </w:t>
      </w:r>
      <w:r w:rsidR="003E6A57">
        <w:rPr>
          <w:rFonts w:ascii="Arial" w:hAnsi="Arial" w:cs="Arial"/>
          <w:sz w:val="24"/>
          <w:szCs w:val="24"/>
        </w:rPr>
        <w:t>S</w:t>
      </w:r>
      <w:r w:rsidRPr="00FA604E">
        <w:rPr>
          <w:rFonts w:ascii="Arial" w:hAnsi="Arial" w:cs="Arial"/>
          <w:sz w:val="24"/>
          <w:szCs w:val="24"/>
        </w:rPr>
        <w:t>ub-account CBR Class B balance accumulated.</w:t>
      </w:r>
    </w:p>
    <w:p w14:paraId="58D7404E" w14:textId="77777777" w:rsidR="002278BE" w:rsidRDefault="002278BE" w:rsidP="00476814">
      <w:pPr>
        <w:spacing w:after="0"/>
        <w:rPr>
          <w:rFonts w:ascii="Arial" w:hAnsi="Arial" w:cs="Arial"/>
          <w:sz w:val="24"/>
          <w:szCs w:val="24"/>
        </w:rPr>
      </w:pPr>
    </w:p>
    <w:p w14:paraId="12C6A380" w14:textId="2B1B84F7" w:rsidR="00984B0C" w:rsidRDefault="00984B0C" w:rsidP="001F21F9">
      <w:pPr>
        <w:rPr>
          <w:rFonts w:ascii="Arial" w:hAnsi="Arial" w:cs="Arial"/>
          <w:sz w:val="24"/>
          <w:szCs w:val="24"/>
        </w:rPr>
      </w:pPr>
      <w:r w:rsidRPr="00984B0C">
        <w:rPr>
          <w:rFonts w:ascii="Arial" w:hAnsi="Arial" w:cs="Arial"/>
          <w:sz w:val="24"/>
          <w:szCs w:val="24"/>
        </w:rPr>
        <w:t xml:space="preserve">This tab calculates the billing determinants for the CBR Class B rate rider. </w:t>
      </w:r>
    </w:p>
    <w:p w14:paraId="0372F7F0" w14:textId="4D224398" w:rsidR="00854134" w:rsidRDefault="00854134" w:rsidP="00B1584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984B0C" w:rsidRPr="001C1DD5" w14:paraId="436C4538" w14:textId="77777777" w:rsidTr="00FB11C3">
        <w:tc>
          <w:tcPr>
            <w:tcW w:w="1129" w:type="dxa"/>
          </w:tcPr>
          <w:p w14:paraId="4DEBB761" w14:textId="77777777" w:rsidR="00984B0C" w:rsidRPr="001C1DD5" w:rsidRDefault="00984B0C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Step #</w:t>
            </w:r>
          </w:p>
        </w:tc>
        <w:tc>
          <w:tcPr>
            <w:tcW w:w="8221" w:type="dxa"/>
          </w:tcPr>
          <w:p w14:paraId="66E6E857" w14:textId="77777777" w:rsidR="00984B0C" w:rsidRPr="001C1DD5" w:rsidRDefault="00984B0C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Instruction</w:t>
            </w:r>
          </w:p>
        </w:tc>
      </w:tr>
      <w:tr w:rsidR="00984B0C" w:rsidRPr="00526DCD" w14:paraId="1B4E0920" w14:textId="77777777" w:rsidTr="00FB11C3">
        <w:tc>
          <w:tcPr>
            <w:tcW w:w="1129" w:type="dxa"/>
          </w:tcPr>
          <w:p w14:paraId="2BA85999" w14:textId="5C80B5C9" w:rsidR="00984B0C" w:rsidRDefault="00727402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  <w:p w14:paraId="74821DC4" w14:textId="77777777" w:rsidR="00984B0C" w:rsidRDefault="00984B0C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14:paraId="794FE60B" w14:textId="59C8BD6A" w:rsidR="00984B0C" w:rsidRDefault="00FA604E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A604E">
              <w:rPr>
                <w:rFonts w:ascii="Arial" w:eastAsia="Times New Roman" w:hAnsi="Arial" w:cs="Arial"/>
                <w:sz w:val="24"/>
                <w:szCs w:val="24"/>
              </w:rPr>
              <w:t xml:space="preserve">No input is required. The information in the tab is </w:t>
            </w:r>
            <w:proofErr w:type="gramStart"/>
            <w:r w:rsidRPr="00FA604E">
              <w:rPr>
                <w:rFonts w:ascii="Arial" w:eastAsia="Times New Roman" w:hAnsi="Arial" w:cs="Arial"/>
                <w:sz w:val="24"/>
                <w:szCs w:val="24"/>
              </w:rPr>
              <w:t>auto-populated</w:t>
            </w:r>
            <w:proofErr w:type="gramEnd"/>
            <w:r w:rsidRPr="00FA604E">
              <w:rPr>
                <w:rFonts w:ascii="Arial" w:eastAsia="Times New Roman" w:hAnsi="Arial" w:cs="Arial"/>
                <w:sz w:val="24"/>
                <w:szCs w:val="24"/>
              </w:rPr>
              <w:t xml:space="preserve"> and </w:t>
            </w:r>
            <w:r w:rsidR="00476814">
              <w:rPr>
                <w:rFonts w:ascii="Arial" w:eastAsia="Times New Roman" w:hAnsi="Arial" w:cs="Arial"/>
                <w:sz w:val="24"/>
                <w:szCs w:val="24"/>
              </w:rPr>
              <w:t xml:space="preserve">is </w:t>
            </w:r>
            <w:r w:rsidR="00ED1899">
              <w:rPr>
                <w:rFonts w:ascii="Arial" w:eastAsia="Times New Roman" w:hAnsi="Arial" w:cs="Arial"/>
                <w:sz w:val="24"/>
                <w:szCs w:val="24"/>
              </w:rPr>
              <w:t xml:space="preserve">to </w:t>
            </w:r>
            <w:r w:rsidRPr="00FA604E">
              <w:rPr>
                <w:rFonts w:ascii="Arial" w:eastAsia="Times New Roman" w:hAnsi="Arial" w:cs="Arial"/>
                <w:sz w:val="24"/>
                <w:szCs w:val="24"/>
              </w:rPr>
              <w:t xml:space="preserve">be used in the calculation of the CBR Class B rate rider calculated in </w:t>
            </w:r>
            <w:r w:rsidR="003E6A57" w:rsidRPr="00060D01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Pr="00EB5941">
              <w:rPr>
                <w:rFonts w:ascii="Arial" w:eastAsia="Times New Roman" w:hAnsi="Arial" w:cs="Arial"/>
                <w:sz w:val="24"/>
                <w:szCs w:val="24"/>
              </w:rPr>
              <w:t>ab 7.</w:t>
            </w:r>
          </w:p>
          <w:p w14:paraId="72CC1BA9" w14:textId="7D09BACB" w:rsidR="00FA604E" w:rsidRPr="00526DCD" w:rsidRDefault="00FA604E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FA7941E" w14:textId="77777777" w:rsidR="00C53EA9" w:rsidRDefault="00C53EA9" w:rsidP="001F21F9">
      <w:pPr>
        <w:rPr>
          <w:rFonts w:ascii="Arial" w:hAnsi="Arial" w:cs="Arial"/>
          <w:sz w:val="24"/>
          <w:szCs w:val="24"/>
        </w:rPr>
      </w:pPr>
    </w:p>
    <w:p w14:paraId="586FD7BC" w14:textId="28B4B1CC" w:rsidR="00153F4D" w:rsidRDefault="00153F4D" w:rsidP="006F1498">
      <w:pPr>
        <w:pStyle w:val="Heading3"/>
        <w:spacing w:after="100" w:afterAutospacing="1"/>
        <w:rPr>
          <w:rFonts w:ascii="Cambria" w:eastAsia="Times New Roman" w:hAnsi="Cambria" w:cs="Arial"/>
          <w:b/>
          <w:bCs/>
          <w:sz w:val="28"/>
          <w:szCs w:val="28"/>
          <w:u w:val="single"/>
        </w:rPr>
      </w:pP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Tab </w:t>
      </w:r>
      <w:r>
        <w:rPr>
          <w:rFonts w:ascii="Cambria" w:eastAsia="Times New Roman" w:hAnsi="Cambria" w:cs="Arial"/>
          <w:b/>
          <w:bCs/>
          <w:sz w:val="28"/>
          <w:szCs w:val="28"/>
          <w:u w:val="single"/>
        </w:rPr>
        <w:t>6.2</w:t>
      </w:r>
      <w:r w:rsidR="003318BC">
        <w:rPr>
          <w:rFonts w:ascii="Cambria" w:eastAsia="Times New Roman" w:hAnsi="Cambria" w:cs="Arial"/>
          <w:b/>
          <w:bCs/>
          <w:sz w:val="28"/>
          <w:szCs w:val="28"/>
          <w:u w:val="single"/>
        </w:rPr>
        <w:t>a</w:t>
      </w: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 – </w:t>
      </w:r>
      <w:r>
        <w:rPr>
          <w:rFonts w:ascii="Cambria" w:eastAsia="Times New Roman" w:hAnsi="Cambria" w:cs="Arial"/>
          <w:b/>
          <w:bCs/>
          <w:sz w:val="28"/>
          <w:szCs w:val="28"/>
          <w:u w:val="single"/>
        </w:rPr>
        <w:t>CBR</w:t>
      </w:r>
      <w:r w:rsidR="003318BC">
        <w:rPr>
          <w:rFonts w:ascii="Cambria" w:eastAsia="Times New Roman" w:hAnsi="Cambria" w:cs="Arial"/>
          <w:b/>
          <w:bCs/>
          <w:sz w:val="28"/>
          <w:szCs w:val="28"/>
          <w:u w:val="single"/>
        </w:rPr>
        <w:t>_B Allocation</w:t>
      </w:r>
    </w:p>
    <w:p w14:paraId="4BBA19E8" w14:textId="6C217C59" w:rsidR="006865B7" w:rsidRDefault="006865B7" w:rsidP="006865B7">
      <w:pPr>
        <w:spacing w:after="0"/>
        <w:rPr>
          <w:rFonts w:ascii="Arial" w:hAnsi="Arial" w:cs="Arial"/>
          <w:sz w:val="24"/>
          <w:szCs w:val="24"/>
        </w:rPr>
      </w:pPr>
      <w:r w:rsidRPr="009651AD">
        <w:rPr>
          <w:rFonts w:ascii="Arial" w:hAnsi="Arial" w:cs="Arial"/>
          <w:sz w:val="24"/>
          <w:szCs w:val="24"/>
        </w:rPr>
        <w:t xml:space="preserve">This tab is generated when the </w:t>
      </w:r>
      <w:r w:rsidR="00BA14CE">
        <w:rPr>
          <w:rFonts w:ascii="Arial" w:hAnsi="Arial" w:cs="Arial"/>
          <w:sz w:val="24"/>
          <w:szCs w:val="24"/>
        </w:rPr>
        <w:t>distributor</w:t>
      </w:r>
      <w:r w:rsidRPr="009651AD">
        <w:rPr>
          <w:rFonts w:ascii="Arial" w:hAnsi="Arial" w:cs="Arial"/>
          <w:sz w:val="24"/>
          <w:szCs w:val="24"/>
        </w:rPr>
        <w:t xml:space="preserve"> indicates that they had transition customers in </w:t>
      </w:r>
      <w:r w:rsidR="00F14846" w:rsidRPr="00EB5941">
        <w:rPr>
          <w:rFonts w:ascii="Arial" w:hAnsi="Arial" w:cs="Arial"/>
          <w:sz w:val="24"/>
          <w:szCs w:val="24"/>
        </w:rPr>
        <w:t>T</w:t>
      </w:r>
      <w:r w:rsidRPr="00EB5941">
        <w:rPr>
          <w:rFonts w:ascii="Arial" w:hAnsi="Arial" w:cs="Arial"/>
          <w:sz w:val="24"/>
          <w:szCs w:val="24"/>
        </w:rPr>
        <w:t>ab 6,</w:t>
      </w:r>
      <w:r w:rsidRPr="009651AD">
        <w:rPr>
          <w:rFonts w:ascii="Arial" w:hAnsi="Arial" w:cs="Arial"/>
          <w:sz w:val="24"/>
          <w:szCs w:val="24"/>
        </w:rPr>
        <w:t xml:space="preserve"> #2b during the period where the CBR Class B balance accumulated.</w:t>
      </w:r>
    </w:p>
    <w:p w14:paraId="19A1BA19" w14:textId="77777777" w:rsidR="002278BE" w:rsidRDefault="002278BE" w:rsidP="006865B7">
      <w:pPr>
        <w:spacing w:after="0"/>
        <w:rPr>
          <w:rFonts w:ascii="Arial" w:hAnsi="Arial" w:cs="Arial"/>
          <w:sz w:val="24"/>
          <w:szCs w:val="24"/>
        </w:rPr>
      </w:pPr>
    </w:p>
    <w:p w14:paraId="4B175049" w14:textId="7B0E6466" w:rsidR="00153F4D" w:rsidRDefault="006865B7" w:rsidP="00153F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53F4D" w:rsidRPr="00984B0C">
        <w:rPr>
          <w:rFonts w:ascii="Arial" w:hAnsi="Arial" w:cs="Arial"/>
          <w:sz w:val="24"/>
          <w:szCs w:val="24"/>
        </w:rPr>
        <w:t>his tab</w:t>
      </w:r>
      <w:r w:rsidR="003318BC" w:rsidRPr="003318BC">
        <w:t xml:space="preserve"> </w:t>
      </w:r>
      <w:r w:rsidR="003318BC" w:rsidRPr="003318BC">
        <w:rPr>
          <w:rFonts w:ascii="Arial" w:hAnsi="Arial" w:cs="Arial"/>
          <w:sz w:val="24"/>
          <w:szCs w:val="24"/>
        </w:rPr>
        <w:t>allocates the CBR Class B balance to each transition customer for the period in which these customers were Class B customers and contributed to the CBR Class B balance (</w:t>
      </w:r>
      <w:proofErr w:type="gramStart"/>
      <w:r w:rsidR="003318BC" w:rsidRPr="003318BC">
        <w:rPr>
          <w:rFonts w:ascii="Arial" w:hAnsi="Arial" w:cs="Arial"/>
          <w:sz w:val="24"/>
          <w:szCs w:val="24"/>
        </w:rPr>
        <w:t>i.e.</w:t>
      </w:r>
      <w:proofErr w:type="gramEnd"/>
      <w:r w:rsidR="003318BC" w:rsidRPr="003318BC">
        <w:rPr>
          <w:rFonts w:ascii="Arial" w:hAnsi="Arial" w:cs="Arial"/>
          <w:sz w:val="24"/>
          <w:szCs w:val="24"/>
        </w:rPr>
        <w:t xml:space="preserve"> former Class B customers who contributed to the balance but are now Class A customers, and former Class A customers who are now Class B contributing to the balance).</w:t>
      </w:r>
    </w:p>
    <w:p w14:paraId="58D00556" w14:textId="77777777" w:rsidR="00B15845" w:rsidRDefault="00B15845" w:rsidP="00B1584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9651AD" w:rsidRPr="001C1DD5" w14:paraId="3D1C9A5B" w14:textId="77777777" w:rsidTr="00FB11C3">
        <w:tc>
          <w:tcPr>
            <w:tcW w:w="1129" w:type="dxa"/>
          </w:tcPr>
          <w:p w14:paraId="0887DD9D" w14:textId="77777777" w:rsidR="009651AD" w:rsidRPr="001C1DD5" w:rsidRDefault="009651AD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Step #</w:t>
            </w:r>
          </w:p>
        </w:tc>
        <w:tc>
          <w:tcPr>
            <w:tcW w:w="8221" w:type="dxa"/>
          </w:tcPr>
          <w:p w14:paraId="5F4D8CBA" w14:textId="77777777" w:rsidR="009651AD" w:rsidRPr="001C1DD5" w:rsidRDefault="009651AD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Instruction</w:t>
            </w:r>
          </w:p>
        </w:tc>
      </w:tr>
      <w:tr w:rsidR="009651AD" w:rsidRPr="00526DCD" w14:paraId="4F46A309" w14:textId="77777777" w:rsidTr="00FB11C3">
        <w:tc>
          <w:tcPr>
            <w:tcW w:w="1129" w:type="dxa"/>
          </w:tcPr>
          <w:p w14:paraId="0D5A6649" w14:textId="53EE92A0" w:rsidR="009651AD" w:rsidRDefault="00727402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  <w:p w14:paraId="6012AE19" w14:textId="77777777" w:rsidR="009651AD" w:rsidRDefault="009651AD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14:paraId="547E1D77" w14:textId="77777777" w:rsidR="009651AD" w:rsidRDefault="009651AD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651AD">
              <w:rPr>
                <w:rFonts w:ascii="Arial" w:eastAsia="Times New Roman" w:hAnsi="Arial" w:cs="Arial"/>
                <w:sz w:val="24"/>
                <w:szCs w:val="24"/>
              </w:rPr>
              <w:t>Enter the total Class B consumption less WMP consumption in the first table.</w:t>
            </w:r>
          </w:p>
          <w:p w14:paraId="6B7B11FA" w14:textId="77777777" w:rsidR="009651AD" w:rsidRDefault="009651AD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E8F3FB" w14:textId="77777777" w:rsidR="00A726C4" w:rsidRDefault="00A726C4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726C4">
              <w:rPr>
                <w:rFonts w:ascii="Arial" w:eastAsia="Times New Roman" w:hAnsi="Arial" w:cs="Arial"/>
                <w:sz w:val="24"/>
                <w:szCs w:val="24"/>
              </w:rPr>
              <w:t xml:space="preserve">The rest of the information in this tab will be auto-populated and </w:t>
            </w:r>
            <w:r w:rsidR="006865B7">
              <w:rPr>
                <w:rFonts w:ascii="Arial" w:eastAsia="Times New Roman" w:hAnsi="Arial" w:cs="Arial"/>
                <w:sz w:val="24"/>
                <w:szCs w:val="24"/>
              </w:rPr>
              <w:t>is to be used to</w:t>
            </w:r>
            <w:r w:rsidR="006865B7" w:rsidRPr="00A726C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726C4">
              <w:rPr>
                <w:rFonts w:ascii="Arial" w:eastAsia="Times New Roman" w:hAnsi="Arial" w:cs="Arial"/>
                <w:sz w:val="24"/>
                <w:szCs w:val="24"/>
              </w:rPr>
              <w:t>calculate the customer</w:t>
            </w:r>
            <w:r w:rsidR="006865B7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A726C4">
              <w:rPr>
                <w:rFonts w:ascii="Arial" w:eastAsia="Times New Roman" w:hAnsi="Arial" w:cs="Arial"/>
                <w:sz w:val="24"/>
                <w:szCs w:val="24"/>
              </w:rPr>
              <w:t>specific allocation of the CBR Class B balance to transition customers in the bottom table.</w:t>
            </w:r>
          </w:p>
          <w:p w14:paraId="73DF0EC5" w14:textId="77E323FF" w:rsidR="00EB5941" w:rsidRPr="00526DCD" w:rsidRDefault="00EB5941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00100BA" w14:textId="77777777" w:rsidR="00A726C4" w:rsidRDefault="00A726C4" w:rsidP="00A726C4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1312AC8" w14:textId="77777777" w:rsidR="00DF0112" w:rsidRDefault="00A726C4" w:rsidP="006F1498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2B34EE">
        <w:rPr>
          <w:rFonts w:ascii="Arial" w:hAnsi="Arial" w:cs="Arial"/>
          <w:sz w:val="24"/>
          <w:szCs w:val="24"/>
          <w:u w:val="single"/>
        </w:rPr>
        <w:t>Notes</w:t>
      </w:r>
      <w:r>
        <w:rPr>
          <w:rFonts w:ascii="Arial" w:hAnsi="Arial" w:cs="Arial"/>
          <w:sz w:val="24"/>
          <w:szCs w:val="24"/>
        </w:rPr>
        <w:t>:</w:t>
      </w:r>
    </w:p>
    <w:p w14:paraId="2B2F4814" w14:textId="0AA45F56" w:rsidR="00F20BAF" w:rsidRDefault="00F20BAF" w:rsidP="00060D01">
      <w:pPr>
        <w:pStyle w:val="BodyText"/>
        <w:spacing w:after="0"/>
      </w:pPr>
      <w:r w:rsidRPr="002365AC">
        <w:t>The Continuity Schedule will allocate the portion of Account 1580</w:t>
      </w:r>
      <w:r w:rsidR="00CB738C">
        <w:t>, Sub-account</w:t>
      </w:r>
      <w:r w:rsidRPr="002365AC">
        <w:t xml:space="preserve"> CBR Class B to customers who transitioned between Class A and Class B, during the period </w:t>
      </w:r>
      <w:r w:rsidRPr="002365AC">
        <w:lastRenderedPageBreak/>
        <w:t xml:space="preserve">in which the balance </w:t>
      </w:r>
      <w:r>
        <w:t xml:space="preserve">requested for </w:t>
      </w:r>
      <w:r w:rsidRPr="002365AC">
        <w:t>dispos</w:t>
      </w:r>
      <w:r>
        <w:t>ition</w:t>
      </w:r>
      <w:r w:rsidRPr="002365AC">
        <w:t xml:space="preserve"> has accumulated, based on customer-specific consumption levels. Each transition</w:t>
      </w:r>
      <w:r>
        <w:t>ing</w:t>
      </w:r>
      <w:r w:rsidRPr="002365AC">
        <w:t xml:space="preserve"> customer will only be responsible for the customer-specific amount allocated to them</w:t>
      </w:r>
      <w:r>
        <w:t xml:space="preserve"> and </w:t>
      </w:r>
      <w:r w:rsidRPr="002365AC">
        <w:t xml:space="preserve">will not be charged/refunded the general CBR Class B rider associated with these balances. Customers should be charged </w:t>
      </w:r>
      <w:r>
        <w:t xml:space="preserve">in a </w:t>
      </w:r>
      <w:r w:rsidRPr="002365AC">
        <w:t>consistent</w:t>
      </w:r>
      <w:r>
        <w:t xml:space="preserve"> manner</w:t>
      </w:r>
      <w:r w:rsidRPr="009406DF">
        <w:t xml:space="preserve"> for the entire rate rider period until the sunset date, regardless of whether customers transitioned between Class A and Class B during the disposition period.</w:t>
      </w:r>
    </w:p>
    <w:p w14:paraId="5EEA11EC" w14:textId="77777777" w:rsidR="00060D01" w:rsidRPr="000E1CDC" w:rsidRDefault="00060D01" w:rsidP="00060D01">
      <w:pPr>
        <w:pStyle w:val="BodyText"/>
        <w:spacing w:after="160"/>
      </w:pPr>
    </w:p>
    <w:p w14:paraId="6F7B9C29" w14:textId="7752C657" w:rsidR="006F1498" w:rsidRDefault="006F1498" w:rsidP="00B15845">
      <w:pPr>
        <w:pStyle w:val="Heading3"/>
        <w:spacing w:after="100" w:afterAutospacing="1"/>
        <w:rPr>
          <w:rFonts w:ascii="Cambria" w:eastAsia="Times New Roman" w:hAnsi="Cambria" w:cs="Arial"/>
          <w:b/>
          <w:bCs/>
          <w:sz w:val="28"/>
          <w:szCs w:val="28"/>
          <w:u w:val="single"/>
        </w:rPr>
      </w:pP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Tab </w:t>
      </w:r>
      <w:r w:rsidR="00833573">
        <w:rPr>
          <w:rFonts w:ascii="Cambria" w:eastAsia="Times New Roman" w:hAnsi="Cambria" w:cs="Arial"/>
          <w:b/>
          <w:bCs/>
          <w:sz w:val="28"/>
          <w:szCs w:val="28"/>
          <w:u w:val="single"/>
        </w:rPr>
        <w:t>7</w:t>
      </w:r>
      <w:r w:rsidRPr="00B14CB6">
        <w:rPr>
          <w:rFonts w:ascii="Cambria" w:eastAsia="Times New Roman" w:hAnsi="Cambria" w:cs="Arial"/>
          <w:b/>
          <w:bCs/>
          <w:sz w:val="28"/>
          <w:szCs w:val="28"/>
          <w:u w:val="single"/>
        </w:rPr>
        <w:t xml:space="preserve"> – </w:t>
      </w:r>
      <w:r w:rsidR="00833573">
        <w:rPr>
          <w:rFonts w:ascii="Cambria" w:eastAsia="Times New Roman" w:hAnsi="Cambria" w:cs="Arial"/>
          <w:b/>
          <w:bCs/>
          <w:sz w:val="28"/>
          <w:szCs w:val="28"/>
          <w:u w:val="single"/>
        </w:rPr>
        <w:t>Calculation of Def-Var RR</w:t>
      </w:r>
    </w:p>
    <w:p w14:paraId="30B2E57A" w14:textId="18ADB6DD" w:rsidR="00833573" w:rsidRDefault="00833573" w:rsidP="006F1498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833573">
        <w:rPr>
          <w:rFonts w:ascii="Arial" w:hAnsi="Arial" w:cs="Arial"/>
          <w:sz w:val="24"/>
          <w:szCs w:val="24"/>
        </w:rPr>
        <w:t>This tab calculates all the applicable DVA rate riders.</w:t>
      </w:r>
    </w:p>
    <w:p w14:paraId="5B4CEE7C" w14:textId="77777777" w:rsidR="00833573" w:rsidRDefault="00833573" w:rsidP="006F1498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833573" w:rsidRPr="001C1DD5" w14:paraId="3B0EF205" w14:textId="77777777" w:rsidTr="00FB11C3">
        <w:tc>
          <w:tcPr>
            <w:tcW w:w="1129" w:type="dxa"/>
          </w:tcPr>
          <w:p w14:paraId="5A1A5123" w14:textId="77777777" w:rsidR="00833573" w:rsidRPr="001C1DD5" w:rsidRDefault="00833573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Step #</w:t>
            </w:r>
          </w:p>
        </w:tc>
        <w:tc>
          <w:tcPr>
            <w:tcW w:w="8221" w:type="dxa"/>
          </w:tcPr>
          <w:p w14:paraId="3EA7810F" w14:textId="77777777" w:rsidR="00833573" w:rsidRPr="001C1DD5" w:rsidRDefault="00833573" w:rsidP="00FB11C3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C1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Instruction</w:t>
            </w:r>
          </w:p>
        </w:tc>
      </w:tr>
      <w:tr w:rsidR="00833573" w:rsidRPr="00526DCD" w14:paraId="1D386CAC" w14:textId="77777777" w:rsidTr="00FB11C3">
        <w:tc>
          <w:tcPr>
            <w:tcW w:w="1129" w:type="dxa"/>
          </w:tcPr>
          <w:p w14:paraId="47676DED" w14:textId="319F8743" w:rsidR="00833573" w:rsidRDefault="00727402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  <w:p w14:paraId="65F0FB35" w14:textId="77777777" w:rsidR="00833573" w:rsidRDefault="00833573" w:rsidP="00FB11C3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08CA3E2" w14:textId="5014D81A" w:rsidR="003E6E97" w:rsidRDefault="00143F75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43F75">
              <w:rPr>
                <w:rFonts w:ascii="Arial" w:eastAsia="Times New Roman" w:hAnsi="Arial" w:cs="Arial"/>
                <w:sz w:val="24"/>
                <w:szCs w:val="24"/>
              </w:rPr>
              <w:t xml:space="preserve">Enter the proposed rate rider recovery period </w:t>
            </w:r>
            <w:r w:rsidR="008C5AF9">
              <w:rPr>
                <w:rFonts w:ascii="Arial" w:eastAsia="Times New Roman" w:hAnsi="Arial" w:cs="Arial"/>
                <w:sz w:val="24"/>
                <w:szCs w:val="24"/>
              </w:rPr>
              <w:t xml:space="preserve">(in months) </w:t>
            </w:r>
            <w:r w:rsidRPr="00143F75">
              <w:rPr>
                <w:rFonts w:ascii="Arial" w:eastAsia="Times New Roman" w:hAnsi="Arial" w:cs="Arial"/>
                <w:sz w:val="24"/>
                <w:szCs w:val="24"/>
              </w:rPr>
              <w:t>if different than the default 12</w:t>
            </w:r>
            <w:r w:rsidR="008C5AF9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143F75">
              <w:rPr>
                <w:rFonts w:ascii="Arial" w:eastAsia="Times New Roman" w:hAnsi="Arial" w:cs="Arial"/>
                <w:sz w:val="24"/>
                <w:szCs w:val="24"/>
              </w:rPr>
              <w:t xml:space="preserve">month period. </w:t>
            </w:r>
          </w:p>
          <w:p w14:paraId="3EBBEDFB" w14:textId="77777777" w:rsidR="003E6E97" w:rsidRDefault="003E6E97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78C4B1" w14:textId="6DD6D6B5" w:rsidR="00B82391" w:rsidRDefault="003E6E97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E6E97">
              <w:rPr>
                <w:rFonts w:ascii="Arial" w:eastAsia="Times New Roman" w:hAnsi="Arial" w:cs="Arial"/>
                <w:sz w:val="24"/>
                <w:szCs w:val="24"/>
              </w:rPr>
              <w:t xml:space="preserve">The default disposition period is </w:t>
            </w:r>
            <w:r w:rsidR="008C5AF9">
              <w:rPr>
                <w:rFonts w:ascii="Arial" w:eastAsia="Times New Roman" w:hAnsi="Arial" w:cs="Arial"/>
                <w:sz w:val="24"/>
                <w:szCs w:val="24"/>
              </w:rPr>
              <w:t>12 months</w:t>
            </w:r>
            <w:r w:rsidRPr="003E6E97">
              <w:rPr>
                <w:rFonts w:ascii="Arial" w:eastAsia="Times New Roman" w:hAnsi="Arial" w:cs="Arial"/>
                <w:sz w:val="24"/>
                <w:szCs w:val="24"/>
              </w:rPr>
              <w:t xml:space="preserve">; if the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distributor</w:t>
            </w:r>
            <w:r w:rsidRPr="003E6E97">
              <w:rPr>
                <w:rFonts w:ascii="Arial" w:eastAsia="Times New Roman" w:hAnsi="Arial" w:cs="Arial"/>
                <w:sz w:val="24"/>
                <w:szCs w:val="24"/>
              </w:rPr>
              <w:t xml:space="preserve"> is proposing an alternative recovery period, an explanation must be provided</w:t>
            </w:r>
            <w:r w:rsidR="003353E4">
              <w:rPr>
                <w:rFonts w:ascii="Arial" w:eastAsia="Times New Roman" w:hAnsi="Arial" w:cs="Arial"/>
                <w:sz w:val="24"/>
                <w:szCs w:val="24"/>
              </w:rPr>
              <w:t xml:space="preserve"> in the evidence</w:t>
            </w:r>
            <w:r w:rsidRPr="003E6E9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189B69D9" w14:textId="5BF800CA" w:rsidR="00833573" w:rsidRPr="00526DCD" w:rsidRDefault="00833573" w:rsidP="00B823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2391" w:rsidRPr="00526DCD" w14:paraId="2CE571EA" w14:textId="77777777" w:rsidTr="00FB11C3">
        <w:tc>
          <w:tcPr>
            <w:tcW w:w="1129" w:type="dxa"/>
          </w:tcPr>
          <w:p w14:paraId="2A6CB6DE" w14:textId="4AB33137" w:rsidR="00B82391" w:rsidRPr="009A6AA0" w:rsidRDefault="00727402" w:rsidP="00FB11C3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8221" w:type="dxa"/>
          </w:tcPr>
          <w:p w14:paraId="038B95E1" w14:textId="77777777" w:rsidR="00B82391" w:rsidRDefault="00B82391" w:rsidP="00B8239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43F75">
              <w:rPr>
                <w:rFonts w:ascii="Arial" w:eastAsia="Times New Roman" w:hAnsi="Arial" w:cs="Arial"/>
                <w:sz w:val="24"/>
                <w:szCs w:val="24"/>
              </w:rPr>
              <w:t xml:space="preserve">For each rate class of each rate rider, select whether the rate rider is to be calculated on a kWh, </w:t>
            </w:r>
            <w:proofErr w:type="gramStart"/>
            <w:r w:rsidRPr="00143F75">
              <w:rPr>
                <w:rFonts w:ascii="Arial" w:eastAsia="Times New Roman" w:hAnsi="Arial" w:cs="Arial"/>
                <w:sz w:val="24"/>
                <w:szCs w:val="24"/>
              </w:rPr>
              <w:t>kW</w:t>
            </w:r>
            <w:proofErr w:type="gramEnd"/>
            <w:r w:rsidRPr="00143F75">
              <w:rPr>
                <w:rFonts w:ascii="Arial" w:eastAsia="Times New Roman" w:hAnsi="Arial" w:cs="Arial"/>
                <w:sz w:val="24"/>
                <w:szCs w:val="24"/>
              </w:rPr>
              <w:t xml:space="preserve"> or number of customers basis. </w:t>
            </w:r>
          </w:p>
          <w:p w14:paraId="1D0182ED" w14:textId="77777777" w:rsidR="00B82391" w:rsidRDefault="00B82391" w:rsidP="00B8239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087BB0" w14:textId="77777777" w:rsidR="00B82391" w:rsidRDefault="00B82391" w:rsidP="00B8239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43F75">
              <w:rPr>
                <w:rFonts w:ascii="Arial" w:eastAsia="Times New Roman" w:hAnsi="Arial" w:cs="Arial"/>
                <w:sz w:val="24"/>
                <w:szCs w:val="24"/>
              </w:rPr>
              <w:t xml:space="preserve">The rest of the information in the tab is </w:t>
            </w:r>
            <w:proofErr w:type="gramStart"/>
            <w:r w:rsidRPr="00143F75">
              <w:rPr>
                <w:rFonts w:ascii="Arial" w:eastAsia="Times New Roman" w:hAnsi="Arial" w:cs="Arial"/>
                <w:sz w:val="24"/>
                <w:szCs w:val="24"/>
              </w:rPr>
              <w:t>auto-populated</w:t>
            </w:r>
            <w:proofErr w:type="gramEnd"/>
            <w:r w:rsidRPr="00143F75">
              <w:rPr>
                <w:rFonts w:ascii="Arial" w:eastAsia="Times New Roman" w:hAnsi="Arial" w:cs="Arial"/>
                <w:sz w:val="24"/>
                <w:szCs w:val="24"/>
              </w:rPr>
              <w:t xml:space="preserve"> and the rate riders are calculated accordingly.</w:t>
            </w:r>
          </w:p>
          <w:p w14:paraId="27B02E1A" w14:textId="77777777" w:rsidR="00B82391" w:rsidRPr="00143F75" w:rsidRDefault="00B82391" w:rsidP="00FB11C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959684D" w14:textId="749C9375" w:rsidR="00153F4D" w:rsidRDefault="00153F4D" w:rsidP="006F1498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50AF5278" w14:textId="77777777" w:rsidR="00507B0D" w:rsidRDefault="00507B0D" w:rsidP="00507B0D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2B34EE">
        <w:rPr>
          <w:rFonts w:ascii="Arial" w:hAnsi="Arial" w:cs="Arial"/>
          <w:sz w:val="24"/>
          <w:szCs w:val="24"/>
          <w:u w:val="single"/>
        </w:rPr>
        <w:t>Notes</w:t>
      </w:r>
      <w:r>
        <w:rPr>
          <w:rFonts w:ascii="Arial" w:hAnsi="Arial" w:cs="Arial"/>
          <w:sz w:val="24"/>
          <w:szCs w:val="24"/>
        </w:rPr>
        <w:t>:</w:t>
      </w:r>
    </w:p>
    <w:p w14:paraId="2E652554" w14:textId="65F7C334" w:rsidR="0052115F" w:rsidRDefault="0052115F" w:rsidP="0052115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1E208F">
        <w:rPr>
          <w:rFonts w:ascii="Arial" w:hAnsi="Arial" w:cs="Arial"/>
          <w:sz w:val="24"/>
          <w:szCs w:val="24"/>
        </w:rPr>
        <w:t xml:space="preserve">The Continuity Schedule </w:t>
      </w:r>
      <w:r w:rsidR="00CC2729">
        <w:rPr>
          <w:rFonts w:ascii="Arial" w:hAnsi="Arial" w:cs="Arial"/>
          <w:sz w:val="24"/>
          <w:szCs w:val="24"/>
        </w:rPr>
        <w:t>will</w:t>
      </w:r>
      <w:r w:rsidR="00CC2729" w:rsidRPr="001E208F">
        <w:rPr>
          <w:rFonts w:ascii="Arial" w:hAnsi="Arial" w:cs="Arial"/>
          <w:sz w:val="24"/>
          <w:szCs w:val="24"/>
        </w:rPr>
        <w:t xml:space="preserve"> </w:t>
      </w:r>
      <w:r w:rsidRPr="001E208F">
        <w:rPr>
          <w:rFonts w:ascii="Arial" w:hAnsi="Arial" w:cs="Arial"/>
          <w:sz w:val="24"/>
          <w:szCs w:val="24"/>
        </w:rPr>
        <w:t>calculate the disposition rate riders using the load data included in the load forecast section of the application.</w:t>
      </w:r>
    </w:p>
    <w:p w14:paraId="087C3442" w14:textId="77777777" w:rsidR="00EA05E9" w:rsidRDefault="00EA05E9" w:rsidP="0052115F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5ED9EC27" w14:textId="0F51657A" w:rsidR="00EA05E9" w:rsidRDefault="00EA05E9" w:rsidP="0052115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Continuity Schedule establishes separate rate riders to recover balances in RSVAs from </w:t>
      </w:r>
      <w:r w:rsidR="00920347">
        <w:rPr>
          <w:rFonts w:ascii="Arial" w:eastAsia="Times New Roman" w:hAnsi="Arial" w:cs="Arial"/>
          <w:sz w:val="24"/>
          <w:szCs w:val="24"/>
        </w:rPr>
        <w:t xml:space="preserve">rate classes with </w:t>
      </w:r>
      <w:r>
        <w:rPr>
          <w:rFonts w:ascii="Arial" w:eastAsia="Times New Roman" w:hAnsi="Arial" w:cs="Arial"/>
          <w:sz w:val="24"/>
          <w:szCs w:val="24"/>
        </w:rPr>
        <w:t>WMP customers.</w:t>
      </w:r>
      <w:r w:rsidR="00F42E9F">
        <w:rPr>
          <w:rFonts w:ascii="Arial" w:eastAsia="Times New Roman" w:hAnsi="Arial" w:cs="Arial"/>
          <w:sz w:val="24"/>
          <w:szCs w:val="24"/>
        </w:rPr>
        <w:t xml:space="preserve"> </w:t>
      </w:r>
      <w:r w:rsidR="00FD0056">
        <w:rPr>
          <w:rFonts w:ascii="Arial" w:eastAsia="Times New Roman" w:hAnsi="Arial" w:cs="Arial"/>
          <w:sz w:val="24"/>
          <w:szCs w:val="24"/>
        </w:rPr>
        <w:t>Therefore, f</w:t>
      </w:r>
      <w:r w:rsidR="00F42E9F">
        <w:rPr>
          <w:rFonts w:ascii="Arial" w:eastAsia="Times New Roman" w:hAnsi="Arial" w:cs="Arial"/>
          <w:sz w:val="24"/>
          <w:szCs w:val="24"/>
        </w:rPr>
        <w:t>or rate classes without WMP customers, balances in Account 1580 WMS and Account 1588 Power</w:t>
      </w:r>
      <w:r w:rsidR="003F3901">
        <w:rPr>
          <w:rFonts w:ascii="Arial" w:eastAsia="Times New Roman" w:hAnsi="Arial" w:cs="Arial"/>
          <w:sz w:val="24"/>
          <w:szCs w:val="24"/>
        </w:rPr>
        <w:t xml:space="preserve"> are included in the general Group 1 DVA rate riders.</w:t>
      </w:r>
    </w:p>
    <w:p w14:paraId="104067C5" w14:textId="00490FF9" w:rsidR="00FA156B" w:rsidRDefault="00FA156B" w:rsidP="0052115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0DF681A7" w14:textId="3FB9ABA4" w:rsidR="00FA156B" w:rsidRDefault="00FA156B" w:rsidP="0052115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A156B">
        <w:rPr>
          <w:rFonts w:ascii="Arial" w:hAnsi="Arial" w:cs="Arial"/>
          <w:sz w:val="24"/>
          <w:szCs w:val="24"/>
        </w:rPr>
        <w:t>The Continuity Schedule establishes separate rate riders on an energy basis (i.e.</w:t>
      </w:r>
      <w:r w:rsidR="00010E75">
        <w:rPr>
          <w:rFonts w:ascii="Arial" w:hAnsi="Arial" w:cs="Arial"/>
          <w:sz w:val="24"/>
          <w:szCs w:val="24"/>
        </w:rPr>
        <w:t>,</w:t>
      </w:r>
      <w:r w:rsidRPr="00FA156B">
        <w:rPr>
          <w:rFonts w:ascii="Arial" w:hAnsi="Arial" w:cs="Arial"/>
          <w:sz w:val="24"/>
          <w:szCs w:val="24"/>
        </w:rPr>
        <w:t xml:space="preserve"> kWh) to non-RPP Class B customers for Account 1589</w:t>
      </w:r>
      <w:r w:rsidR="00FD0056">
        <w:rPr>
          <w:rFonts w:ascii="Arial" w:hAnsi="Arial" w:cs="Arial"/>
          <w:sz w:val="24"/>
          <w:szCs w:val="24"/>
        </w:rPr>
        <w:t xml:space="preserve"> </w:t>
      </w:r>
      <w:r w:rsidR="004C12B2">
        <w:rPr>
          <w:rFonts w:ascii="Arial" w:hAnsi="Arial" w:cs="Arial"/>
          <w:sz w:val="24"/>
          <w:szCs w:val="24"/>
        </w:rPr>
        <w:t>GA</w:t>
      </w:r>
      <w:r w:rsidRPr="00FA156B">
        <w:rPr>
          <w:rFonts w:ascii="Arial" w:hAnsi="Arial" w:cs="Arial"/>
          <w:sz w:val="24"/>
          <w:szCs w:val="24"/>
        </w:rPr>
        <w:t xml:space="preserve"> as the account captures the difference between the amounts billed</w:t>
      </w:r>
      <w:r w:rsidR="00E64A45">
        <w:rPr>
          <w:rFonts w:ascii="Arial" w:hAnsi="Arial" w:cs="Arial"/>
          <w:sz w:val="24"/>
          <w:szCs w:val="24"/>
        </w:rPr>
        <w:t xml:space="preserve"> and unbilled</w:t>
      </w:r>
      <w:r w:rsidRPr="00FA156B">
        <w:rPr>
          <w:rFonts w:ascii="Arial" w:hAnsi="Arial" w:cs="Arial"/>
          <w:sz w:val="24"/>
          <w:szCs w:val="24"/>
        </w:rPr>
        <w:t xml:space="preserve"> (</w:t>
      </w:r>
      <w:r w:rsidR="00BB59F4">
        <w:rPr>
          <w:rFonts w:ascii="Arial" w:hAnsi="Arial" w:cs="Arial"/>
          <w:sz w:val="24"/>
          <w:szCs w:val="24"/>
        </w:rPr>
        <w:t>under accrual accounting</w:t>
      </w:r>
      <w:r w:rsidRPr="00FA156B">
        <w:rPr>
          <w:rFonts w:ascii="Arial" w:hAnsi="Arial" w:cs="Arial"/>
          <w:sz w:val="24"/>
          <w:szCs w:val="24"/>
        </w:rPr>
        <w:t>) to non-RPP Class B customers by the distributor and the actual amount paid by the distributor to the IESO (or host distributor) for those customers.</w:t>
      </w:r>
    </w:p>
    <w:p w14:paraId="7955C195" w14:textId="77777777" w:rsidR="0052115F" w:rsidRDefault="0052115F" w:rsidP="0052115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9F06890" w14:textId="603A9922" w:rsidR="0052115F" w:rsidRDefault="0052115F" w:rsidP="0052115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FD5BA1">
        <w:rPr>
          <w:rFonts w:ascii="Arial" w:hAnsi="Arial" w:cs="Arial"/>
          <w:sz w:val="24"/>
          <w:szCs w:val="24"/>
        </w:rPr>
        <w:t xml:space="preserve">Volumetric rate riders are calculated at four decimal places. Rate riders of $0.0000 must not be included on the tariff sheet. </w:t>
      </w:r>
      <w:r w:rsidR="006D0A27">
        <w:rPr>
          <w:rFonts w:ascii="Arial" w:hAnsi="Arial" w:cs="Arial"/>
          <w:sz w:val="24"/>
          <w:szCs w:val="24"/>
        </w:rPr>
        <w:t xml:space="preserve">If the rate rider </w:t>
      </w:r>
      <w:r w:rsidR="000878FC">
        <w:rPr>
          <w:rFonts w:ascii="Arial" w:hAnsi="Arial" w:cs="Arial"/>
          <w:sz w:val="24"/>
          <w:szCs w:val="24"/>
        </w:rPr>
        <w:t xml:space="preserve">associated with the </w:t>
      </w:r>
      <w:r w:rsidR="00B72963">
        <w:rPr>
          <w:rFonts w:ascii="Arial" w:hAnsi="Arial" w:cs="Arial"/>
          <w:sz w:val="24"/>
          <w:szCs w:val="24"/>
        </w:rPr>
        <w:t xml:space="preserve">account </w:t>
      </w:r>
      <w:r w:rsidR="006D0A27">
        <w:rPr>
          <w:rFonts w:ascii="Arial" w:hAnsi="Arial" w:cs="Arial"/>
          <w:sz w:val="24"/>
          <w:szCs w:val="24"/>
        </w:rPr>
        <w:t>do</w:t>
      </w:r>
      <w:r w:rsidR="00B72963">
        <w:rPr>
          <w:rFonts w:ascii="Arial" w:hAnsi="Arial" w:cs="Arial"/>
          <w:sz w:val="24"/>
          <w:szCs w:val="24"/>
        </w:rPr>
        <w:t>es</w:t>
      </w:r>
      <w:r w:rsidR="006D0A27">
        <w:rPr>
          <w:rFonts w:ascii="Arial" w:hAnsi="Arial" w:cs="Arial"/>
          <w:sz w:val="24"/>
          <w:szCs w:val="24"/>
        </w:rPr>
        <w:t xml:space="preserve"> not </w:t>
      </w:r>
      <w:r w:rsidR="000878FC">
        <w:rPr>
          <w:rFonts w:ascii="Arial" w:hAnsi="Arial" w:cs="Arial"/>
          <w:sz w:val="24"/>
          <w:szCs w:val="24"/>
        </w:rPr>
        <w:t>round to four decimal points, t</w:t>
      </w:r>
      <w:r w:rsidRPr="00FD5BA1">
        <w:rPr>
          <w:rFonts w:ascii="Arial" w:hAnsi="Arial" w:cs="Arial"/>
          <w:sz w:val="24"/>
          <w:szCs w:val="24"/>
        </w:rPr>
        <w:t xml:space="preserve">he entire OEB-approved amount for recovery or refund </w:t>
      </w:r>
      <w:r w:rsidR="000878FC">
        <w:rPr>
          <w:rFonts w:ascii="Arial" w:hAnsi="Arial" w:cs="Arial"/>
          <w:sz w:val="24"/>
          <w:szCs w:val="24"/>
        </w:rPr>
        <w:t xml:space="preserve">for the rate rider </w:t>
      </w:r>
      <w:r w:rsidRPr="00FD5BA1">
        <w:rPr>
          <w:rFonts w:ascii="Arial" w:hAnsi="Arial" w:cs="Arial"/>
          <w:sz w:val="24"/>
          <w:szCs w:val="24"/>
        </w:rPr>
        <w:t xml:space="preserve">will typically be recorded in a </w:t>
      </w:r>
      <w:r w:rsidR="00E212BB">
        <w:rPr>
          <w:rFonts w:ascii="Arial" w:hAnsi="Arial" w:cs="Arial"/>
          <w:sz w:val="24"/>
          <w:szCs w:val="24"/>
        </w:rPr>
        <w:t>relevant</w:t>
      </w:r>
      <w:r w:rsidRPr="00FD5BA1">
        <w:rPr>
          <w:rFonts w:ascii="Arial" w:hAnsi="Arial" w:cs="Arial"/>
          <w:sz w:val="24"/>
          <w:szCs w:val="24"/>
        </w:rPr>
        <w:t xml:space="preserve"> account to be determined by the OEB for disposition in a future rate-setting application.</w:t>
      </w:r>
    </w:p>
    <w:p w14:paraId="6FD7F19E" w14:textId="77777777" w:rsidR="0052115F" w:rsidRDefault="0052115F" w:rsidP="00507B0D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A1705D3" w14:textId="64EC9723" w:rsidR="00AF1D7A" w:rsidRDefault="00507B0D" w:rsidP="00AF1D7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7B0D">
        <w:rPr>
          <w:rFonts w:ascii="Arial" w:hAnsi="Arial" w:cs="Arial"/>
          <w:sz w:val="24"/>
          <w:szCs w:val="24"/>
        </w:rPr>
        <w:t>If there are Class A customers, but a CBR Class B rate rider is not produced</w:t>
      </w:r>
      <w:r w:rsidR="00F54832">
        <w:rPr>
          <w:rFonts w:ascii="Arial" w:hAnsi="Arial" w:cs="Arial"/>
          <w:sz w:val="24"/>
          <w:szCs w:val="24"/>
        </w:rPr>
        <w:t xml:space="preserve"> because it does not </w:t>
      </w:r>
      <w:r w:rsidR="007C69C6">
        <w:rPr>
          <w:rFonts w:ascii="Arial" w:hAnsi="Arial" w:cs="Arial"/>
          <w:sz w:val="24"/>
          <w:szCs w:val="24"/>
        </w:rPr>
        <w:t>round to four decimal points</w:t>
      </w:r>
      <w:r w:rsidRPr="00507B0D">
        <w:rPr>
          <w:rFonts w:ascii="Arial" w:hAnsi="Arial" w:cs="Arial"/>
          <w:sz w:val="24"/>
          <w:szCs w:val="24"/>
        </w:rPr>
        <w:t>, the entire Account 1580</w:t>
      </w:r>
      <w:r w:rsidR="00F823BD">
        <w:rPr>
          <w:rFonts w:ascii="Arial" w:hAnsi="Arial" w:cs="Arial"/>
          <w:sz w:val="24"/>
          <w:szCs w:val="24"/>
        </w:rPr>
        <w:t>, Sub-account</w:t>
      </w:r>
      <w:r w:rsidRPr="00507B0D">
        <w:rPr>
          <w:rFonts w:ascii="Arial" w:hAnsi="Arial" w:cs="Arial"/>
          <w:sz w:val="24"/>
          <w:szCs w:val="24"/>
        </w:rPr>
        <w:t xml:space="preserve"> CBR Class B balance, including the amount allocated to transition customers will be transferred to Account 1580 WMS, to be disposed</w:t>
      </w:r>
      <w:r w:rsidR="0023738C">
        <w:rPr>
          <w:rFonts w:ascii="Arial" w:hAnsi="Arial" w:cs="Arial"/>
          <w:sz w:val="24"/>
          <w:szCs w:val="24"/>
        </w:rPr>
        <w:t xml:space="preserve"> of</w:t>
      </w:r>
      <w:r w:rsidRPr="00507B0D">
        <w:rPr>
          <w:rFonts w:ascii="Arial" w:hAnsi="Arial" w:cs="Arial"/>
          <w:sz w:val="24"/>
          <w:szCs w:val="24"/>
        </w:rPr>
        <w:t xml:space="preserve"> through the general Group 1 DVA rate rider.</w:t>
      </w:r>
      <w:r w:rsidR="00AF1D7A">
        <w:rPr>
          <w:rFonts w:ascii="Arial" w:hAnsi="Arial" w:cs="Arial"/>
          <w:sz w:val="24"/>
          <w:szCs w:val="24"/>
        </w:rPr>
        <w:t xml:space="preserve"> </w:t>
      </w:r>
      <w:r w:rsidR="00AF1D7A" w:rsidRPr="005E2B4F">
        <w:rPr>
          <w:rFonts w:ascii="Arial" w:hAnsi="Arial" w:cs="Arial"/>
          <w:sz w:val="24"/>
          <w:szCs w:val="24"/>
        </w:rPr>
        <w:t>If the distributor did not have any Class A customers during the period in which the Account 1580</w:t>
      </w:r>
      <w:r w:rsidR="00F823BD">
        <w:rPr>
          <w:rFonts w:ascii="Arial" w:hAnsi="Arial" w:cs="Arial"/>
          <w:sz w:val="24"/>
          <w:szCs w:val="24"/>
        </w:rPr>
        <w:t>, Sub-account</w:t>
      </w:r>
      <w:r w:rsidR="00AF1D7A" w:rsidRPr="005E2B4F">
        <w:rPr>
          <w:rFonts w:ascii="Arial" w:hAnsi="Arial" w:cs="Arial"/>
          <w:sz w:val="24"/>
          <w:szCs w:val="24"/>
        </w:rPr>
        <w:t xml:space="preserve"> CBR Class B balance accumulated, the Continuity Schedule will transfer </w:t>
      </w:r>
      <w:r w:rsidR="008C7174">
        <w:rPr>
          <w:rFonts w:ascii="Arial" w:hAnsi="Arial" w:cs="Arial"/>
          <w:sz w:val="24"/>
          <w:szCs w:val="24"/>
        </w:rPr>
        <w:t xml:space="preserve">the </w:t>
      </w:r>
      <w:r w:rsidR="007C69C6" w:rsidRPr="00507B0D">
        <w:rPr>
          <w:rFonts w:ascii="Arial" w:hAnsi="Arial" w:cs="Arial"/>
          <w:sz w:val="24"/>
          <w:szCs w:val="24"/>
        </w:rPr>
        <w:t xml:space="preserve">Account 1580 CBR Class B </w:t>
      </w:r>
      <w:r w:rsidR="00AF1D7A" w:rsidRPr="005E2B4F">
        <w:rPr>
          <w:rFonts w:ascii="Arial" w:hAnsi="Arial" w:cs="Arial"/>
          <w:sz w:val="24"/>
          <w:szCs w:val="24"/>
        </w:rPr>
        <w:t xml:space="preserve">balance to the Account 1580 WMS and include the CBR amounts as part of the </w:t>
      </w:r>
      <w:proofErr w:type="gramStart"/>
      <w:r w:rsidR="00AF1D7A" w:rsidRPr="005E2B4F">
        <w:rPr>
          <w:rFonts w:ascii="Arial" w:hAnsi="Arial" w:cs="Arial"/>
          <w:sz w:val="24"/>
          <w:szCs w:val="24"/>
        </w:rPr>
        <w:t>general purpose</w:t>
      </w:r>
      <w:proofErr w:type="gramEnd"/>
      <w:r w:rsidR="00AF1D7A" w:rsidRPr="005E2B4F">
        <w:rPr>
          <w:rFonts w:ascii="Arial" w:hAnsi="Arial" w:cs="Arial"/>
          <w:sz w:val="24"/>
          <w:szCs w:val="24"/>
        </w:rPr>
        <w:t xml:space="preserve"> Group 1 DVA rate riders</w:t>
      </w:r>
      <w:r w:rsidR="00AF1D7A">
        <w:rPr>
          <w:rFonts w:ascii="Arial" w:hAnsi="Arial" w:cs="Arial"/>
          <w:sz w:val="24"/>
          <w:szCs w:val="24"/>
        </w:rPr>
        <w:t xml:space="preserve"> calculated in </w:t>
      </w:r>
      <w:r w:rsidR="008C1CD7">
        <w:rPr>
          <w:rFonts w:ascii="Arial" w:hAnsi="Arial" w:cs="Arial"/>
          <w:sz w:val="24"/>
          <w:szCs w:val="24"/>
        </w:rPr>
        <w:t>T</w:t>
      </w:r>
      <w:r w:rsidR="00AF1D7A">
        <w:rPr>
          <w:rFonts w:ascii="Arial" w:hAnsi="Arial" w:cs="Arial"/>
          <w:sz w:val="24"/>
          <w:szCs w:val="24"/>
        </w:rPr>
        <w:t>ab 7.</w:t>
      </w:r>
    </w:p>
    <w:p w14:paraId="362198A8" w14:textId="4210FF23" w:rsidR="002A7250" w:rsidRDefault="002A7250" w:rsidP="00AF1D7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5D1E79D" w14:textId="5E3D869F" w:rsidR="00507B0D" w:rsidRDefault="00507B0D" w:rsidP="00507B0D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42266C96" w14:textId="3B5B2969" w:rsidR="007F3091" w:rsidRDefault="007F3091" w:rsidP="00507B0D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631385E7" w14:textId="1464A9E6" w:rsidR="00717028" w:rsidRDefault="00717028" w:rsidP="0052115F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sectPr w:rsidR="00717028" w:rsidSect="0076621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8741" w14:textId="77777777" w:rsidR="003A0B3D" w:rsidRDefault="003A0B3D" w:rsidP="00FB1EDF">
      <w:pPr>
        <w:spacing w:after="0" w:line="240" w:lineRule="auto"/>
      </w:pPr>
      <w:r>
        <w:separator/>
      </w:r>
    </w:p>
  </w:endnote>
  <w:endnote w:type="continuationSeparator" w:id="0">
    <w:p w14:paraId="6737F91E" w14:textId="77777777" w:rsidR="003A0B3D" w:rsidRDefault="003A0B3D" w:rsidP="00FB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545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0170A1" w14:textId="71216483" w:rsidR="00675A5F" w:rsidRDefault="00675A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- 20 -</w:t>
        </w:r>
        <w:r>
          <w:rPr>
            <w:noProof/>
          </w:rPr>
          <w:fldChar w:fldCharType="end"/>
        </w:r>
      </w:p>
    </w:sdtContent>
  </w:sdt>
  <w:p w14:paraId="3F4AB26C" w14:textId="035E734B" w:rsidR="00675A5F" w:rsidRPr="003B3FF3" w:rsidRDefault="005C7BE3">
    <w:pPr>
      <w:pStyle w:val="Footer"/>
      <w:rPr>
        <w:rFonts w:ascii="Arial" w:hAnsi="Arial" w:cs="Arial"/>
      </w:rPr>
    </w:pPr>
    <w:r w:rsidRPr="00BB60B2">
      <w:rPr>
        <w:rFonts w:ascii="Arial" w:hAnsi="Arial" w:cs="Arial"/>
      </w:rPr>
      <w:t xml:space="preserve">June </w:t>
    </w:r>
    <w:r w:rsidR="00BB60B2" w:rsidRPr="00BB60B2">
      <w:rPr>
        <w:rFonts w:ascii="Arial" w:hAnsi="Arial" w:cs="Arial"/>
      </w:rPr>
      <w:t xml:space="preserve">23, </w:t>
    </w:r>
    <w:r w:rsidRPr="00BB60B2">
      <w:rPr>
        <w:rFonts w:ascii="Arial" w:hAnsi="Arial" w:cs="Arial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DFBBA" w14:textId="77777777" w:rsidR="003A0B3D" w:rsidRDefault="003A0B3D" w:rsidP="00FB1EDF">
      <w:pPr>
        <w:spacing w:after="0" w:line="240" w:lineRule="auto"/>
      </w:pPr>
      <w:r>
        <w:separator/>
      </w:r>
    </w:p>
  </w:footnote>
  <w:footnote w:type="continuationSeparator" w:id="0">
    <w:p w14:paraId="1B0A46E0" w14:textId="77777777" w:rsidR="003A0B3D" w:rsidRDefault="003A0B3D" w:rsidP="00FB1EDF">
      <w:pPr>
        <w:spacing w:after="0" w:line="240" w:lineRule="auto"/>
      </w:pPr>
      <w:r>
        <w:continuationSeparator/>
      </w:r>
    </w:p>
  </w:footnote>
  <w:footnote w:id="1">
    <w:p w14:paraId="217A8520" w14:textId="4CB5D777" w:rsidR="00D65594" w:rsidRPr="00060D01" w:rsidRDefault="00D65594" w:rsidP="00135BDB">
      <w:pPr>
        <w:pStyle w:val="FootnoteText"/>
        <w:rPr>
          <w:rFonts w:ascii="Arial" w:hAnsi="Arial" w:cs="Arial"/>
        </w:rPr>
      </w:pPr>
      <w:r w:rsidRPr="00060D01">
        <w:rPr>
          <w:rStyle w:val="FootnoteReference"/>
          <w:rFonts w:ascii="Arial" w:hAnsi="Arial" w:cs="Arial"/>
        </w:rPr>
        <w:footnoteRef/>
      </w:r>
      <w:r w:rsidRPr="00060D01">
        <w:rPr>
          <w:rFonts w:ascii="Arial" w:hAnsi="Arial" w:cs="Arial"/>
        </w:rPr>
        <w:t xml:space="preserve"> </w:t>
      </w:r>
      <w:r w:rsidR="008F3B4A" w:rsidRPr="00060D01">
        <w:rPr>
          <w:rFonts w:ascii="Arial" w:hAnsi="Arial" w:cs="Arial"/>
        </w:rPr>
        <w:t>Guidance on Wholesale Market Services Accounting for Capacity Based Demand Response (CBDR) and new IESO Charge Type 9920, March 29, 2016</w:t>
      </w:r>
      <w:r w:rsidR="00135BDB">
        <w:rPr>
          <w:rFonts w:ascii="Arial" w:hAnsi="Arial" w:cs="Arial"/>
        </w:rPr>
        <w:t xml:space="preserve">, and </w:t>
      </w:r>
      <w:r w:rsidR="00135BDB" w:rsidRPr="00135BDB">
        <w:rPr>
          <w:rFonts w:ascii="Arial" w:hAnsi="Arial" w:cs="Arial"/>
        </w:rPr>
        <w:t>Accounting Guidance on Capacity Based Recovery (previously called</w:t>
      </w:r>
      <w:r w:rsidR="00135BDB">
        <w:rPr>
          <w:rFonts w:ascii="Arial" w:hAnsi="Arial" w:cs="Arial"/>
        </w:rPr>
        <w:t xml:space="preserve"> </w:t>
      </w:r>
      <w:r w:rsidR="00135BDB" w:rsidRPr="00135BDB">
        <w:rPr>
          <w:rFonts w:ascii="Arial" w:hAnsi="Arial" w:cs="Arial"/>
        </w:rPr>
        <w:t>Capacity Based Demand Response)</w:t>
      </w:r>
      <w:r w:rsidR="00135BDB">
        <w:rPr>
          <w:rFonts w:ascii="Arial" w:hAnsi="Arial" w:cs="Arial"/>
        </w:rPr>
        <w:t>, July 25, 2016</w:t>
      </w:r>
    </w:p>
  </w:footnote>
  <w:footnote w:id="2">
    <w:p w14:paraId="3EC27901" w14:textId="77777777" w:rsidR="004A3174" w:rsidRPr="00FB11C3" w:rsidRDefault="004A3174" w:rsidP="004A3174">
      <w:pPr>
        <w:pStyle w:val="FootnoteText"/>
        <w:rPr>
          <w:rFonts w:ascii="Arial" w:hAnsi="Arial" w:cs="Arial"/>
        </w:rPr>
      </w:pPr>
      <w:r w:rsidRPr="00FB11C3">
        <w:rPr>
          <w:rStyle w:val="FootnoteReference"/>
          <w:rFonts w:ascii="Arial" w:hAnsi="Arial" w:cs="Arial"/>
        </w:rPr>
        <w:footnoteRef/>
      </w:r>
      <w:r w:rsidRPr="00FB11C3">
        <w:rPr>
          <w:rFonts w:ascii="Arial" w:hAnsi="Arial" w:cs="Arial"/>
        </w:rPr>
        <w:t xml:space="preserve"> Refer to the IESO’s </w:t>
      </w:r>
      <w:hyperlink r:id="rId1" w:anchor=":~:text=Under%20the%20ICI%2C%20customers%20with,not%20to%20participate%20in%20ICI." w:history="1">
        <w:r w:rsidRPr="00FB11C3">
          <w:rPr>
            <w:rStyle w:val="Hyperlink"/>
            <w:rFonts w:ascii="Arial" w:hAnsi="Arial" w:cs="Arial"/>
          </w:rPr>
          <w:t>website</w:t>
        </w:r>
      </w:hyperlink>
      <w:r w:rsidRPr="00FB11C3">
        <w:rPr>
          <w:rFonts w:ascii="Arial" w:hAnsi="Arial" w:cs="Arial"/>
        </w:rPr>
        <w:t xml:space="preserve"> for details on Class A eligibility under the Industrial Conservation Initiative.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775C" w14:textId="5AF9E543" w:rsidR="00675A5F" w:rsidRDefault="00675A5F" w:rsidP="00CF7876">
    <w:pPr>
      <w:pStyle w:val="Header"/>
      <w:tabs>
        <w:tab w:val="clear" w:pos="9360"/>
        <w:tab w:val="right" w:pos="9630"/>
      </w:tabs>
      <w:ind w:right="-308"/>
      <w:jc w:val="right"/>
    </w:pPr>
    <w:r>
      <w:rPr>
        <w:noProof/>
      </w:rPr>
      <w:drawing>
        <wp:inline distT="0" distB="0" distL="0" distR="0" wp14:anchorId="40B264EE" wp14:editId="16D6CD83">
          <wp:extent cx="1841792" cy="537845"/>
          <wp:effectExtent l="0" t="0" r="6350" b="0"/>
          <wp:docPr id="2" name="Picture 2" descr="cid:image003.png@01D2B441.FBB199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3.png@01D2B441.FBB199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792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1096"/>
    <w:multiLevelType w:val="hybridMultilevel"/>
    <w:tmpl w:val="DCDC6760"/>
    <w:lvl w:ilvl="0" w:tplc="B990496E">
      <w:start w:val="2016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7E1C5B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42E0A90"/>
    <w:multiLevelType w:val="hybridMultilevel"/>
    <w:tmpl w:val="83CCC71A"/>
    <w:lvl w:ilvl="0" w:tplc="B990496E">
      <w:start w:val="2016"/>
      <w:numFmt w:val="bullet"/>
      <w:lvlText w:val="•"/>
      <w:lvlJc w:val="left"/>
      <w:pPr>
        <w:ind w:left="1079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055121CB"/>
    <w:multiLevelType w:val="hybridMultilevel"/>
    <w:tmpl w:val="634AAC2A"/>
    <w:lvl w:ilvl="0" w:tplc="38E0798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05F960D3"/>
    <w:multiLevelType w:val="hybridMultilevel"/>
    <w:tmpl w:val="60308D6E"/>
    <w:lvl w:ilvl="0" w:tplc="1A0818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B68E9"/>
    <w:multiLevelType w:val="hybridMultilevel"/>
    <w:tmpl w:val="9C50161E"/>
    <w:lvl w:ilvl="0" w:tplc="957A0F6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C46917"/>
    <w:multiLevelType w:val="hybridMultilevel"/>
    <w:tmpl w:val="10F27E04"/>
    <w:lvl w:ilvl="0" w:tplc="7C043B3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7892E6DA">
      <w:start w:val="7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C86A3F"/>
    <w:multiLevelType w:val="hybridMultilevel"/>
    <w:tmpl w:val="D246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E017F1"/>
    <w:multiLevelType w:val="hybridMultilevel"/>
    <w:tmpl w:val="67EC49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DB05937"/>
    <w:multiLevelType w:val="hybridMultilevel"/>
    <w:tmpl w:val="B64036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770CC1"/>
    <w:multiLevelType w:val="hybridMultilevel"/>
    <w:tmpl w:val="346438FE"/>
    <w:lvl w:ilvl="0" w:tplc="7C043B3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33965180">
      <w:start w:val="1"/>
      <w:numFmt w:val="lowerRoman"/>
      <w:lvlText w:val="%2)"/>
      <w:lvlJc w:val="left"/>
      <w:pPr>
        <w:ind w:left="216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04309A"/>
    <w:multiLevelType w:val="hybridMultilevel"/>
    <w:tmpl w:val="5E5A1E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416936"/>
    <w:multiLevelType w:val="hybridMultilevel"/>
    <w:tmpl w:val="0450CE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3776F34"/>
    <w:multiLevelType w:val="hybridMultilevel"/>
    <w:tmpl w:val="A20887C0"/>
    <w:lvl w:ilvl="0" w:tplc="1FEE6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635E5"/>
    <w:multiLevelType w:val="hybridMultilevel"/>
    <w:tmpl w:val="BA921F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1806D9"/>
    <w:multiLevelType w:val="hybridMultilevel"/>
    <w:tmpl w:val="C7E2D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6D1F39"/>
    <w:multiLevelType w:val="hybridMultilevel"/>
    <w:tmpl w:val="E4342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7C043B34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E164AD"/>
    <w:multiLevelType w:val="hybridMultilevel"/>
    <w:tmpl w:val="686680E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0663B2"/>
    <w:multiLevelType w:val="hybridMultilevel"/>
    <w:tmpl w:val="F800D6E8"/>
    <w:lvl w:ilvl="0" w:tplc="7C043B34">
      <w:start w:val="1"/>
      <w:numFmt w:val="lowerRoman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 w15:restartNumberingAfterBreak="0">
    <w:nsid w:val="1CC6182F"/>
    <w:multiLevelType w:val="hybridMultilevel"/>
    <w:tmpl w:val="E9947928"/>
    <w:lvl w:ilvl="0" w:tplc="B990496E">
      <w:start w:val="2016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E3C2D84"/>
    <w:multiLevelType w:val="hybridMultilevel"/>
    <w:tmpl w:val="D0FABB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314A25"/>
    <w:multiLevelType w:val="hybridMultilevel"/>
    <w:tmpl w:val="45BA60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FEC4A2B"/>
    <w:multiLevelType w:val="hybridMultilevel"/>
    <w:tmpl w:val="4DECA6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AB45F7"/>
    <w:multiLevelType w:val="hybridMultilevel"/>
    <w:tmpl w:val="CA887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5597F74"/>
    <w:multiLevelType w:val="hybridMultilevel"/>
    <w:tmpl w:val="AA366606"/>
    <w:lvl w:ilvl="0" w:tplc="B990496E">
      <w:start w:val="2016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6723051"/>
    <w:multiLevelType w:val="hybridMultilevel"/>
    <w:tmpl w:val="33800D7A"/>
    <w:lvl w:ilvl="0" w:tplc="B990496E">
      <w:start w:val="201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6DB4E7F"/>
    <w:multiLevelType w:val="hybridMultilevel"/>
    <w:tmpl w:val="3E4E91D8"/>
    <w:lvl w:ilvl="0" w:tplc="0470A40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F62C36"/>
    <w:multiLevelType w:val="hybridMultilevel"/>
    <w:tmpl w:val="66C8A3E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B957B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EE54679"/>
    <w:multiLevelType w:val="hybridMultilevel"/>
    <w:tmpl w:val="346438FE"/>
    <w:lvl w:ilvl="0" w:tplc="7C043B3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33965180">
      <w:start w:val="1"/>
      <w:numFmt w:val="lowerRoman"/>
      <w:lvlText w:val="%2)"/>
      <w:lvlJc w:val="left"/>
      <w:pPr>
        <w:ind w:left="216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F9B0AF4"/>
    <w:multiLevelType w:val="hybridMultilevel"/>
    <w:tmpl w:val="B8006242"/>
    <w:lvl w:ilvl="0" w:tplc="E2F8D80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05" w:hanging="360"/>
      </w:pPr>
    </w:lvl>
    <w:lvl w:ilvl="2" w:tplc="1009001B" w:tentative="1">
      <w:start w:val="1"/>
      <w:numFmt w:val="lowerRoman"/>
      <w:lvlText w:val="%3."/>
      <w:lvlJc w:val="right"/>
      <w:pPr>
        <w:ind w:left="2225" w:hanging="180"/>
      </w:pPr>
    </w:lvl>
    <w:lvl w:ilvl="3" w:tplc="1009000F" w:tentative="1">
      <w:start w:val="1"/>
      <w:numFmt w:val="decimal"/>
      <w:lvlText w:val="%4."/>
      <w:lvlJc w:val="left"/>
      <w:pPr>
        <w:ind w:left="2945" w:hanging="360"/>
      </w:pPr>
    </w:lvl>
    <w:lvl w:ilvl="4" w:tplc="10090019" w:tentative="1">
      <w:start w:val="1"/>
      <w:numFmt w:val="lowerLetter"/>
      <w:lvlText w:val="%5."/>
      <w:lvlJc w:val="left"/>
      <w:pPr>
        <w:ind w:left="3665" w:hanging="360"/>
      </w:pPr>
    </w:lvl>
    <w:lvl w:ilvl="5" w:tplc="1009001B" w:tentative="1">
      <w:start w:val="1"/>
      <w:numFmt w:val="lowerRoman"/>
      <w:lvlText w:val="%6."/>
      <w:lvlJc w:val="right"/>
      <w:pPr>
        <w:ind w:left="4385" w:hanging="180"/>
      </w:pPr>
    </w:lvl>
    <w:lvl w:ilvl="6" w:tplc="1009000F" w:tentative="1">
      <w:start w:val="1"/>
      <w:numFmt w:val="decimal"/>
      <w:lvlText w:val="%7."/>
      <w:lvlJc w:val="left"/>
      <w:pPr>
        <w:ind w:left="5105" w:hanging="360"/>
      </w:pPr>
    </w:lvl>
    <w:lvl w:ilvl="7" w:tplc="10090019" w:tentative="1">
      <w:start w:val="1"/>
      <w:numFmt w:val="lowerLetter"/>
      <w:lvlText w:val="%8."/>
      <w:lvlJc w:val="left"/>
      <w:pPr>
        <w:ind w:left="5825" w:hanging="360"/>
      </w:pPr>
    </w:lvl>
    <w:lvl w:ilvl="8" w:tplc="10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31D56C01"/>
    <w:multiLevelType w:val="hybridMultilevel"/>
    <w:tmpl w:val="DDE4EE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9417C2"/>
    <w:multiLevelType w:val="hybridMultilevel"/>
    <w:tmpl w:val="23946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406839"/>
    <w:multiLevelType w:val="hybridMultilevel"/>
    <w:tmpl w:val="4594C708"/>
    <w:lvl w:ilvl="0" w:tplc="B990496E">
      <w:start w:val="2016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4FD1432"/>
    <w:multiLevelType w:val="hybridMultilevel"/>
    <w:tmpl w:val="D8CEE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DE7901"/>
    <w:multiLevelType w:val="hybridMultilevel"/>
    <w:tmpl w:val="CAF0006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81B233B"/>
    <w:multiLevelType w:val="hybridMultilevel"/>
    <w:tmpl w:val="A62ED2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3864064D"/>
    <w:multiLevelType w:val="hybridMultilevel"/>
    <w:tmpl w:val="F3A49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1E6FFE"/>
    <w:multiLevelType w:val="hybridMultilevel"/>
    <w:tmpl w:val="44280068"/>
    <w:lvl w:ilvl="0" w:tplc="7C043B34">
      <w:start w:val="1"/>
      <w:numFmt w:val="lowerRoman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 w15:restartNumberingAfterBreak="0">
    <w:nsid w:val="394D7B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402F0477"/>
    <w:multiLevelType w:val="hybridMultilevel"/>
    <w:tmpl w:val="198A2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31363B7"/>
    <w:multiLevelType w:val="hybridMultilevel"/>
    <w:tmpl w:val="DDBC1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290B2C"/>
    <w:multiLevelType w:val="hybridMultilevel"/>
    <w:tmpl w:val="F288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656095"/>
    <w:multiLevelType w:val="hybridMultilevel"/>
    <w:tmpl w:val="2276665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4C86055B"/>
    <w:multiLevelType w:val="hybridMultilevel"/>
    <w:tmpl w:val="2BE09A14"/>
    <w:lvl w:ilvl="0" w:tplc="1FEE6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6C5FE3"/>
    <w:multiLevelType w:val="hybridMultilevel"/>
    <w:tmpl w:val="7B808278"/>
    <w:lvl w:ilvl="0" w:tplc="7C043B3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1892E42"/>
    <w:multiLevelType w:val="hybridMultilevel"/>
    <w:tmpl w:val="3038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1F626C"/>
    <w:multiLevelType w:val="hybridMultilevel"/>
    <w:tmpl w:val="90FEFA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45B0166"/>
    <w:multiLevelType w:val="hybridMultilevel"/>
    <w:tmpl w:val="4436434E"/>
    <w:lvl w:ilvl="0" w:tplc="9A986532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4877AB4"/>
    <w:multiLevelType w:val="hybridMultilevel"/>
    <w:tmpl w:val="7C6242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81F6566"/>
    <w:multiLevelType w:val="multilevel"/>
    <w:tmpl w:val="3BE8C484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1" w15:restartNumberingAfterBreak="0">
    <w:nsid w:val="59387EE7"/>
    <w:multiLevelType w:val="hybridMultilevel"/>
    <w:tmpl w:val="5CFCAD00"/>
    <w:lvl w:ilvl="0" w:tplc="B990496E">
      <w:start w:val="2016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B0218C4"/>
    <w:multiLevelType w:val="hybridMultilevel"/>
    <w:tmpl w:val="8FBA7C2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B896C4B"/>
    <w:multiLevelType w:val="hybridMultilevel"/>
    <w:tmpl w:val="B8006242"/>
    <w:lvl w:ilvl="0" w:tplc="FFFFFFFF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 w15:restartNumberingAfterBreak="0">
    <w:nsid w:val="5BA50C0D"/>
    <w:multiLevelType w:val="hybridMultilevel"/>
    <w:tmpl w:val="BDC004E8"/>
    <w:lvl w:ilvl="0" w:tplc="B990496E">
      <w:start w:val="2016"/>
      <w:numFmt w:val="bullet"/>
      <w:lvlText w:val="•"/>
      <w:lvlJc w:val="left"/>
      <w:pPr>
        <w:ind w:left="434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B990496E">
      <w:start w:val="2016"/>
      <w:numFmt w:val="bullet"/>
      <w:lvlText w:val="•"/>
      <w:lvlJc w:val="left"/>
      <w:pPr>
        <w:ind w:left="1874" w:hanging="360"/>
      </w:pPr>
      <w:rPr>
        <w:rFonts w:ascii="Arial" w:eastAsia="Times New Roman" w:hAnsi="Arial" w:cs="Arial" w:hint="default"/>
      </w:rPr>
    </w:lvl>
    <w:lvl w:ilvl="3" w:tplc="0409000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55" w15:restartNumberingAfterBreak="0">
    <w:nsid w:val="5C073804"/>
    <w:multiLevelType w:val="hybridMultilevel"/>
    <w:tmpl w:val="4ADC317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5E53728E"/>
    <w:multiLevelType w:val="multilevel"/>
    <w:tmpl w:val="C91E1D12"/>
    <w:lvl w:ilvl="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7" w15:restartNumberingAfterBreak="0">
    <w:nsid w:val="5FA21366"/>
    <w:multiLevelType w:val="hybridMultilevel"/>
    <w:tmpl w:val="A88C7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CD11F3"/>
    <w:multiLevelType w:val="hybridMultilevel"/>
    <w:tmpl w:val="8C760D2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1DE4C47"/>
    <w:multiLevelType w:val="hybridMultilevel"/>
    <w:tmpl w:val="FF142B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1E670BC"/>
    <w:multiLevelType w:val="hybridMultilevel"/>
    <w:tmpl w:val="BC34AEC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3987C38"/>
    <w:multiLevelType w:val="hybridMultilevel"/>
    <w:tmpl w:val="A39E6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B44C3B"/>
    <w:multiLevelType w:val="hybridMultilevel"/>
    <w:tmpl w:val="B47811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0E3057"/>
    <w:multiLevelType w:val="hybridMultilevel"/>
    <w:tmpl w:val="891C5B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649A3C4C"/>
    <w:multiLevelType w:val="hybridMultilevel"/>
    <w:tmpl w:val="33FE1D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64C77FF4"/>
    <w:multiLevelType w:val="hybridMultilevel"/>
    <w:tmpl w:val="12F821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67E34193"/>
    <w:multiLevelType w:val="hybridMultilevel"/>
    <w:tmpl w:val="728AAAC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8832EE1"/>
    <w:multiLevelType w:val="hybridMultilevel"/>
    <w:tmpl w:val="390E3702"/>
    <w:lvl w:ilvl="0" w:tplc="7C043B34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69AE7601"/>
    <w:multiLevelType w:val="hybridMultilevel"/>
    <w:tmpl w:val="BCAA6D4A"/>
    <w:lvl w:ilvl="0" w:tplc="1FEE6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9CE58FA"/>
    <w:multiLevelType w:val="hybridMultilevel"/>
    <w:tmpl w:val="06ECC9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ABD26B2"/>
    <w:multiLevelType w:val="hybridMultilevel"/>
    <w:tmpl w:val="7C6242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C5832D9"/>
    <w:multiLevelType w:val="hybridMultilevel"/>
    <w:tmpl w:val="D8D048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7349B3"/>
    <w:multiLevelType w:val="hybridMultilevel"/>
    <w:tmpl w:val="58868C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73A854BF"/>
    <w:multiLevelType w:val="hybridMultilevel"/>
    <w:tmpl w:val="D592E8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C324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754B0DF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75687AA8"/>
    <w:multiLevelType w:val="hybridMultilevel"/>
    <w:tmpl w:val="917E3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77F12080"/>
    <w:multiLevelType w:val="hybridMultilevel"/>
    <w:tmpl w:val="FD96FEA4"/>
    <w:lvl w:ilvl="0" w:tplc="7C043B34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78506884"/>
    <w:multiLevelType w:val="hybridMultilevel"/>
    <w:tmpl w:val="D8B8CA94"/>
    <w:lvl w:ilvl="0" w:tplc="B990496E">
      <w:start w:val="2016"/>
      <w:numFmt w:val="bullet"/>
      <w:lvlText w:val="•"/>
      <w:lvlJc w:val="left"/>
      <w:pPr>
        <w:ind w:left="434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79" w15:restartNumberingAfterBreak="0">
    <w:nsid w:val="79661950"/>
    <w:multiLevelType w:val="hybridMultilevel"/>
    <w:tmpl w:val="145C61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B652C3E"/>
    <w:multiLevelType w:val="hybridMultilevel"/>
    <w:tmpl w:val="346438FE"/>
    <w:lvl w:ilvl="0" w:tplc="7C043B34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33965180">
      <w:start w:val="1"/>
      <w:numFmt w:val="lowerRoman"/>
      <w:lvlText w:val="%2)"/>
      <w:lvlJc w:val="left"/>
      <w:pPr>
        <w:ind w:left="216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7BD26F92"/>
    <w:multiLevelType w:val="hybridMultilevel"/>
    <w:tmpl w:val="31FCDAB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C646911"/>
    <w:multiLevelType w:val="hybridMultilevel"/>
    <w:tmpl w:val="28522D20"/>
    <w:lvl w:ilvl="0" w:tplc="B990496E">
      <w:start w:val="2016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7D9215BC"/>
    <w:multiLevelType w:val="hybridMultilevel"/>
    <w:tmpl w:val="A0A6ACF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F6C2A78"/>
    <w:multiLevelType w:val="hybridMultilevel"/>
    <w:tmpl w:val="CDEC6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5" w15:restartNumberingAfterBreak="0">
    <w:nsid w:val="7FBA4EE6"/>
    <w:multiLevelType w:val="hybridMultilevel"/>
    <w:tmpl w:val="29FC1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77952">
    <w:abstractNumId w:val="51"/>
  </w:num>
  <w:num w:numId="2" w16cid:durableId="969170918">
    <w:abstractNumId w:val="60"/>
  </w:num>
  <w:num w:numId="3" w16cid:durableId="1710252851">
    <w:abstractNumId w:val="24"/>
  </w:num>
  <w:num w:numId="4" w16cid:durableId="1226260570">
    <w:abstractNumId w:val="0"/>
  </w:num>
  <w:num w:numId="5" w16cid:durableId="250361976">
    <w:abstractNumId w:val="82"/>
  </w:num>
  <w:num w:numId="6" w16cid:durableId="275871383">
    <w:abstractNumId w:val="72"/>
  </w:num>
  <w:num w:numId="7" w16cid:durableId="1858427907">
    <w:abstractNumId w:val="75"/>
  </w:num>
  <w:num w:numId="8" w16cid:durableId="1003165815">
    <w:abstractNumId w:val="6"/>
  </w:num>
  <w:num w:numId="9" w16cid:durableId="1031228968">
    <w:abstractNumId w:val="2"/>
  </w:num>
  <w:num w:numId="10" w16cid:durableId="1181430715">
    <w:abstractNumId w:val="78"/>
  </w:num>
  <w:num w:numId="11" w16cid:durableId="299654099">
    <w:abstractNumId w:val="64"/>
  </w:num>
  <w:num w:numId="12" w16cid:durableId="1760903856">
    <w:abstractNumId w:val="19"/>
  </w:num>
  <w:num w:numId="13" w16cid:durableId="132455923">
    <w:abstractNumId w:val="45"/>
  </w:num>
  <w:num w:numId="14" w16cid:durableId="744107828">
    <w:abstractNumId w:val="33"/>
  </w:num>
  <w:num w:numId="15" w16cid:durableId="1127119565">
    <w:abstractNumId w:val="41"/>
  </w:num>
  <w:num w:numId="16" w16cid:durableId="387341631">
    <w:abstractNumId w:val="48"/>
  </w:num>
  <w:num w:numId="17" w16cid:durableId="1453943659">
    <w:abstractNumId w:val="83"/>
  </w:num>
  <w:num w:numId="18" w16cid:durableId="2120559307">
    <w:abstractNumId w:val="59"/>
  </w:num>
  <w:num w:numId="19" w16cid:durableId="1469282268">
    <w:abstractNumId w:val="4"/>
  </w:num>
  <w:num w:numId="20" w16cid:durableId="660472627">
    <w:abstractNumId w:val="70"/>
  </w:num>
  <w:num w:numId="21" w16cid:durableId="601035189">
    <w:abstractNumId w:val="49"/>
  </w:num>
  <w:num w:numId="22" w16cid:durableId="1837961087">
    <w:abstractNumId w:val="58"/>
  </w:num>
  <w:num w:numId="23" w16cid:durableId="2006200866">
    <w:abstractNumId w:val="61"/>
  </w:num>
  <w:num w:numId="24" w16cid:durableId="1138110226">
    <w:abstractNumId w:val="85"/>
  </w:num>
  <w:num w:numId="25" w16cid:durableId="1173295972">
    <w:abstractNumId w:val="3"/>
  </w:num>
  <w:num w:numId="26" w16cid:durableId="258029920">
    <w:abstractNumId w:val="12"/>
  </w:num>
  <w:num w:numId="27" w16cid:durableId="1367681414">
    <w:abstractNumId w:val="23"/>
  </w:num>
  <w:num w:numId="28" w16cid:durableId="1022517453">
    <w:abstractNumId w:val="25"/>
  </w:num>
  <w:num w:numId="29" w16cid:durableId="2119136237">
    <w:abstractNumId w:val="84"/>
  </w:num>
  <w:num w:numId="30" w16cid:durableId="1436747438">
    <w:abstractNumId w:val="54"/>
  </w:num>
  <w:num w:numId="31" w16cid:durableId="1001851261">
    <w:abstractNumId w:val="14"/>
  </w:num>
  <w:num w:numId="32" w16cid:durableId="2036421718">
    <w:abstractNumId w:val="52"/>
  </w:num>
  <w:num w:numId="33" w16cid:durableId="492070801">
    <w:abstractNumId w:val="81"/>
  </w:num>
  <w:num w:numId="34" w16cid:durableId="1356075732">
    <w:abstractNumId w:val="21"/>
  </w:num>
  <w:num w:numId="35" w16cid:durableId="1279338632">
    <w:abstractNumId w:val="63"/>
  </w:num>
  <w:num w:numId="36" w16cid:durableId="1623000664">
    <w:abstractNumId w:val="71"/>
  </w:num>
  <w:num w:numId="37" w16cid:durableId="32194757">
    <w:abstractNumId w:val="42"/>
  </w:num>
  <w:num w:numId="38" w16cid:durableId="45759267">
    <w:abstractNumId w:val="34"/>
  </w:num>
  <w:num w:numId="39" w16cid:durableId="356274359">
    <w:abstractNumId w:val="29"/>
  </w:num>
  <w:num w:numId="40" w16cid:durableId="1819879335">
    <w:abstractNumId w:val="16"/>
  </w:num>
  <w:num w:numId="41" w16cid:durableId="1774788509">
    <w:abstractNumId w:val="36"/>
  </w:num>
  <w:num w:numId="42" w16cid:durableId="284702299">
    <w:abstractNumId w:val="37"/>
  </w:num>
  <w:num w:numId="43" w16cid:durableId="532310733">
    <w:abstractNumId w:val="15"/>
  </w:num>
  <w:num w:numId="44" w16cid:durableId="1499690719">
    <w:abstractNumId w:val="8"/>
  </w:num>
  <w:num w:numId="45" w16cid:durableId="1756970585">
    <w:abstractNumId w:val="1"/>
  </w:num>
  <w:num w:numId="46" w16cid:durableId="1983733942">
    <w:abstractNumId w:val="26"/>
  </w:num>
  <w:num w:numId="47" w16cid:durableId="1557081411">
    <w:abstractNumId w:val="5"/>
  </w:num>
  <w:num w:numId="48" w16cid:durableId="78525400">
    <w:abstractNumId w:val="62"/>
  </w:num>
  <w:num w:numId="49" w16cid:durableId="507866674">
    <w:abstractNumId w:val="74"/>
  </w:num>
  <w:num w:numId="50" w16cid:durableId="290207037">
    <w:abstractNumId w:val="67"/>
  </w:num>
  <w:num w:numId="51" w16cid:durableId="1153836751">
    <w:abstractNumId w:val="77"/>
  </w:num>
  <w:num w:numId="52" w16cid:durableId="892960345">
    <w:abstractNumId w:val="7"/>
  </w:num>
  <w:num w:numId="53" w16cid:durableId="1925990766">
    <w:abstractNumId w:val="32"/>
  </w:num>
  <w:num w:numId="54" w16cid:durableId="1124621703">
    <w:abstractNumId w:val="76"/>
  </w:num>
  <w:num w:numId="55" w16cid:durableId="183791397">
    <w:abstractNumId w:val="80"/>
  </w:num>
  <w:num w:numId="56" w16cid:durableId="849835286">
    <w:abstractNumId w:val="10"/>
  </w:num>
  <w:num w:numId="57" w16cid:durableId="2102412962">
    <w:abstractNumId w:val="65"/>
  </w:num>
  <w:num w:numId="58" w16cid:durableId="1815246610">
    <w:abstractNumId w:val="43"/>
  </w:num>
  <w:num w:numId="59" w16cid:durableId="1531996262">
    <w:abstractNumId w:val="20"/>
  </w:num>
  <w:num w:numId="60" w16cid:durableId="1404110688">
    <w:abstractNumId w:val="57"/>
  </w:num>
  <w:num w:numId="61" w16cid:durableId="1183469845">
    <w:abstractNumId w:val="28"/>
  </w:num>
  <w:num w:numId="62" w16cid:durableId="1243182180">
    <w:abstractNumId w:val="39"/>
  </w:num>
  <w:num w:numId="63" w16cid:durableId="1094781946">
    <w:abstractNumId w:val="40"/>
  </w:num>
  <w:num w:numId="64" w16cid:durableId="1108744101">
    <w:abstractNumId w:val="11"/>
  </w:num>
  <w:num w:numId="65" w16cid:durableId="2130735556">
    <w:abstractNumId w:val="44"/>
  </w:num>
  <w:num w:numId="66" w16cid:durableId="346443404">
    <w:abstractNumId w:val="68"/>
  </w:num>
  <w:num w:numId="67" w16cid:durableId="1761949062">
    <w:abstractNumId w:val="13"/>
  </w:num>
  <w:num w:numId="68" w16cid:durableId="336540375">
    <w:abstractNumId w:val="79"/>
  </w:num>
  <w:num w:numId="69" w16cid:durableId="1255626244">
    <w:abstractNumId w:val="35"/>
  </w:num>
  <w:num w:numId="70" w16cid:durableId="40785022">
    <w:abstractNumId w:val="47"/>
  </w:num>
  <w:num w:numId="71" w16cid:durableId="42874106">
    <w:abstractNumId w:val="73"/>
  </w:num>
  <w:num w:numId="72" w16cid:durableId="1388064015">
    <w:abstractNumId w:val="9"/>
  </w:num>
  <w:num w:numId="73" w16cid:durableId="129060399">
    <w:abstractNumId w:val="50"/>
  </w:num>
  <w:num w:numId="74" w16cid:durableId="2005664967">
    <w:abstractNumId w:val="18"/>
  </w:num>
  <w:num w:numId="75" w16cid:durableId="1527717732">
    <w:abstractNumId w:val="38"/>
  </w:num>
  <w:num w:numId="76" w16cid:durableId="1015112199">
    <w:abstractNumId w:val="56"/>
  </w:num>
  <w:num w:numId="77" w16cid:durableId="1829130501">
    <w:abstractNumId w:val="31"/>
  </w:num>
  <w:num w:numId="78" w16cid:durableId="1755395087">
    <w:abstractNumId w:val="46"/>
  </w:num>
  <w:num w:numId="79" w16cid:durableId="873082741">
    <w:abstractNumId w:val="66"/>
  </w:num>
  <w:num w:numId="80" w16cid:durableId="421874607">
    <w:abstractNumId w:val="69"/>
  </w:num>
  <w:num w:numId="81" w16cid:durableId="884218882">
    <w:abstractNumId w:val="55"/>
  </w:num>
  <w:num w:numId="82" w16cid:durableId="956177419">
    <w:abstractNumId w:val="17"/>
  </w:num>
  <w:num w:numId="83" w16cid:durableId="900602932">
    <w:abstractNumId w:val="30"/>
  </w:num>
  <w:num w:numId="84" w16cid:durableId="907611764">
    <w:abstractNumId w:val="53"/>
  </w:num>
  <w:num w:numId="85" w16cid:durableId="896665976">
    <w:abstractNumId w:val="27"/>
  </w:num>
  <w:num w:numId="86" w16cid:durableId="1488017402">
    <w:abstractNumId w:val="2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wMjKwMDeyNAFShko6SsGpxcWZ+XkgBUa1AG0gUYgsAAAA"/>
  </w:docVars>
  <w:rsids>
    <w:rsidRoot w:val="00FB1EDF"/>
    <w:rsid w:val="000009EC"/>
    <w:rsid w:val="0000233E"/>
    <w:rsid w:val="000074F9"/>
    <w:rsid w:val="00007BEA"/>
    <w:rsid w:val="0001002C"/>
    <w:rsid w:val="00010A8F"/>
    <w:rsid w:val="00010E75"/>
    <w:rsid w:val="00011BBB"/>
    <w:rsid w:val="00012B1D"/>
    <w:rsid w:val="0001326A"/>
    <w:rsid w:val="0001619E"/>
    <w:rsid w:val="00016859"/>
    <w:rsid w:val="000168A5"/>
    <w:rsid w:val="00016A09"/>
    <w:rsid w:val="000205A3"/>
    <w:rsid w:val="00023F70"/>
    <w:rsid w:val="00023FCC"/>
    <w:rsid w:val="000260F4"/>
    <w:rsid w:val="000268EB"/>
    <w:rsid w:val="000306EA"/>
    <w:rsid w:val="00030926"/>
    <w:rsid w:val="00032193"/>
    <w:rsid w:val="00033BF9"/>
    <w:rsid w:val="00034BE1"/>
    <w:rsid w:val="00034EB1"/>
    <w:rsid w:val="000351ED"/>
    <w:rsid w:val="00035DA5"/>
    <w:rsid w:val="000364AF"/>
    <w:rsid w:val="000366AF"/>
    <w:rsid w:val="00037018"/>
    <w:rsid w:val="00037765"/>
    <w:rsid w:val="000402AD"/>
    <w:rsid w:val="00040639"/>
    <w:rsid w:val="0004088C"/>
    <w:rsid w:val="00046DFF"/>
    <w:rsid w:val="00047BEB"/>
    <w:rsid w:val="00051506"/>
    <w:rsid w:val="00051A29"/>
    <w:rsid w:val="00051EFA"/>
    <w:rsid w:val="000526E2"/>
    <w:rsid w:val="00052B80"/>
    <w:rsid w:val="000531B5"/>
    <w:rsid w:val="000539F0"/>
    <w:rsid w:val="000542D4"/>
    <w:rsid w:val="00055D82"/>
    <w:rsid w:val="00055E19"/>
    <w:rsid w:val="00056629"/>
    <w:rsid w:val="00056D08"/>
    <w:rsid w:val="000575D2"/>
    <w:rsid w:val="00057F8C"/>
    <w:rsid w:val="00060D01"/>
    <w:rsid w:val="000611B9"/>
    <w:rsid w:val="00063D98"/>
    <w:rsid w:val="00063E16"/>
    <w:rsid w:val="0006442D"/>
    <w:rsid w:val="000662D6"/>
    <w:rsid w:val="00067615"/>
    <w:rsid w:val="000677EF"/>
    <w:rsid w:val="00067BAB"/>
    <w:rsid w:val="00070F91"/>
    <w:rsid w:val="000720A6"/>
    <w:rsid w:val="0007230D"/>
    <w:rsid w:val="00073165"/>
    <w:rsid w:val="00073734"/>
    <w:rsid w:val="00073956"/>
    <w:rsid w:val="00074A0B"/>
    <w:rsid w:val="000755DB"/>
    <w:rsid w:val="00075712"/>
    <w:rsid w:val="00075FCE"/>
    <w:rsid w:val="00081398"/>
    <w:rsid w:val="00082EC7"/>
    <w:rsid w:val="000830F0"/>
    <w:rsid w:val="00083469"/>
    <w:rsid w:val="0008407E"/>
    <w:rsid w:val="000861B3"/>
    <w:rsid w:val="0008678D"/>
    <w:rsid w:val="00086C5F"/>
    <w:rsid w:val="00087695"/>
    <w:rsid w:val="000878FC"/>
    <w:rsid w:val="00087D30"/>
    <w:rsid w:val="000906BC"/>
    <w:rsid w:val="00090D35"/>
    <w:rsid w:val="00091357"/>
    <w:rsid w:val="00091BD2"/>
    <w:rsid w:val="0009202C"/>
    <w:rsid w:val="000922C5"/>
    <w:rsid w:val="00092AF6"/>
    <w:rsid w:val="000947C5"/>
    <w:rsid w:val="00094C5E"/>
    <w:rsid w:val="000956C4"/>
    <w:rsid w:val="00095F96"/>
    <w:rsid w:val="000A007A"/>
    <w:rsid w:val="000A1272"/>
    <w:rsid w:val="000A3D49"/>
    <w:rsid w:val="000A51BA"/>
    <w:rsid w:val="000A75C4"/>
    <w:rsid w:val="000A7B96"/>
    <w:rsid w:val="000B0082"/>
    <w:rsid w:val="000B0CC0"/>
    <w:rsid w:val="000B1A8C"/>
    <w:rsid w:val="000B28B5"/>
    <w:rsid w:val="000B31FD"/>
    <w:rsid w:val="000B3462"/>
    <w:rsid w:val="000B4FC7"/>
    <w:rsid w:val="000B55A0"/>
    <w:rsid w:val="000B7410"/>
    <w:rsid w:val="000C16D2"/>
    <w:rsid w:val="000C3940"/>
    <w:rsid w:val="000C40D2"/>
    <w:rsid w:val="000C673D"/>
    <w:rsid w:val="000D119F"/>
    <w:rsid w:val="000D1FBB"/>
    <w:rsid w:val="000D35E9"/>
    <w:rsid w:val="000D595E"/>
    <w:rsid w:val="000D5CA6"/>
    <w:rsid w:val="000D5E72"/>
    <w:rsid w:val="000D7BC8"/>
    <w:rsid w:val="000E1595"/>
    <w:rsid w:val="000E293E"/>
    <w:rsid w:val="000E3CB1"/>
    <w:rsid w:val="000E47C0"/>
    <w:rsid w:val="000E67A5"/>
    <w:rsid w:val="000E7C76"/>
    <w:rsid w:val="000F052D"/>
    <w:rsid w:val="000F07E0"/>
    <w:rsid w:val="000F0904"/>
    <w:rsid w:val="000F0A24"/>
    <w:rsid w:val="000F0B52"/>
    <w:rsid w:val="000F18C7"/>
    <w:rsid w:val="000F1D53"/>
    <w:rsid w:val="000F1FA6"/>
    <w:rsid w:val="000F4CBF"/>
    <w:rsid w:val="000F552F"/>
    <w:rsid w:val="000F5726"/>
    <w:rsid w:val="000F685E"/>
    <w:rsid w:val="000F729B"/>
    <w:rsid w:val="000F7CFB"/>
    <w:rsid w:val="00100089"/>
    <w:rsid w:val="00100588"/>
    <w:rsid w:val="00102D5E"/>
    <w:rsid w:val="00102E60"/>
    <w:rsid w:val="00104146"/>
    <w:rsid w:val="00106F41"/>
    <w:rsid w:val="00107703"/>
    <w:rsid w:val="00107DEB"/>
    <w:rsid w:val="001122E5"/>
    <w:rsid w:val="0011243F"/>
    <w:rsid w:val="001126A5"/>
    <w:rsid w:val="0011301A"/>
    <w:rsid w:val="00114C8C"/>
    <w:rsid w:val="00114E80"/>
    <w:rsid w:val="00115411"/>
    <w:rsid w:val="00115716"/>
    <w:rsid w:val="00115813"/>
    <w:rsid w:val="0011626B"/>
    <w:rsid w:val="001167A2"/>
    <w:rsid w:val="00117AC0"/>
    <w:rsid w:val="00122BF4"/>
    <w:rsid w:val="0012303F"/>
    <w:rsid w:val="001241FA"/>
    <w:rsid w:val="00125AFD"/>
    <w:rsid w:val="00125E46"/>
    <w:rsid w:val="00127A62"/>
    <w:rsid w:val="0013009D"/>
    <w:rsid w:val="00132206"/>
    <w:rsid w:val="001341A7"/>
    <w:rsid w:val="00134597"/>
    <w:rsid w:val="00135BDB"/>
    <w:rsid w:val="001410E9"/>
    <w:rsid w:val="0014184A"/>
    <w:rsid w:val="0014264E"/>
    <w:rsid w:val="00143F75"/>
    <w:rsid w:val="00146D15"/>
    <w:rsid w:val="00147CA7"/>
    <w:rsid w:val="00150A4B"/>
    <w:rsid w:val="001527CC"/>
    <w:rsid w:val="00152B93"/>
    <w:rsid w:val="00152E40"/>
    <w:rsid w:val="00152EE3"/>
    <w:rsid w:val="00153F4D"/>
    <w:rsid w:val="00154893"/>
    <w:rsid w:val="00155BC8"/>
    <w:rsid w:val="0015779D"/>
    <w:rsid w:val="0016053C"/>
    <w:rsid w:val="00160F09"/>
    <w:rsid w:val="001614F6"/>
    <w:rsid w:val="001623FF"/>
    <w:rsid w:val="0016368D"/>
    <w:rsid w:val="0016683B"/>
    <w:rsid w:val="0017181C"/>
    <w:rsid w:val="00171EDC"/>
    <w:rsid w:val="00173BAF"/>
    <w:rsid w:val="00174203"/>
    <w:rsid w:val="00174BA3"/>
    <w:rsid w:val="00174CCC"/>
    <w:rsid w:val="001754DA"/>
    <w:rsid w:val="001774F1"/>
    <w:rsid w:val="00181E35"/>
    <w:rsid w:val="00182F4D"/>
    <w:rsid w:val="00183C30"/>
    <w:rsid w:val="00183CBF"/>
    <w:rsid w:val="00184A7C"/>
    <w:rsid w:val="00184ADD"/>
    <w:rsid w:val="00186A60"/>
    <w:rsid w:val="00186FA4"/>
    <w:rsid w:val="0018763C"/>
    <w:rsid w:val="00190295"/>
    <w:rsid w:val="00190516"/>
    <w:rsid w:val="001907F4"/>
    <w:rsid w:val="00192D2B"/>
    <w:rsid w:val="00196D4C"/>
    <w:rsid w:val="001A0F1B"/>
    <w:rsid w:val="001A165D"/>
    <w:rsid w:val="001A2777"/>
    <w:rsid w:val="001A2B58"/>
    <w:rsid w:val="001A2BA6"/>
    <w:rsid w:val="001A3044"/>
    <w:rsid w:val="001A321F"/>
    <w:rsid w:val="001A51FC"/>
    <w:rsid w:val="001A5869"/>
    <w:rsid w:val="001B047A"/>
    <w:rsid w:val="001B2597"/>
    <w:rsid w:val="001B3C2B"/>
    <w:rsid w:val="001B4F54"/>
    <w:rsid w:val="001B50E0"/>
    <w:rsid w:val="001B699F"/>
    <w:rsid w:val="001B6B60"/>
    <w:rsid w:val="001C042F"/>
    <w:rsid w:val="001C054B"/>
    <w:rsid w:val="001C1DD5"/>
    <w:rsid w:val="001C3862"/>
    <w:rsid w:val="001C505E"/>
    <w:rsid w:val="001C5A3C"/>
    <w:rsid w:val="001C5AE3"/>
    <w:rsid w:val="001C667F"/>
    <w:rsid w:val="001C699C"/>
    <w:rsid w:val="001D054C"/>
    <w:rsid w:val="001D1295"/>
    <w:rsid w:val="001D4DCB"/>
    <w:rsid w:val="001D51AE"/>
    <w:rsid w:val="001D638B"/>
    <w:rsid w:val="001D64B3"/>
    <w:rsid w:val="001D6B97"/>
    <w:rsid w:val="001D7104"/>
    <w:rsid w:val="001D766D"/>
    <w:rsid w:val="001E19D3"/>
    <w:rsid w:val="001E208F"/>
    <w:rsid w:val="001E3196"/>
    <w:rsid w:val="001E3FF0"/>
    <w:rsid w:val="001E467E"/>
    <w:rsid w:val="001E4CBD"/>
    <w:rsid w:val="001E5183"/>
    <w:rsid w:val="001E6017"/>
    <w:rsid w:val="001E6891"/>
    <w:rsid w:val="001E75CA"/>
    <w:rsid w:val="001F0D69"/>
    <w:rsid w:val="001F21F9"/>
    <w:rsid w:val="001F4AF1"/>
    <w:rsid w:val="001F5BF3"/>
    <w:rsid w:val="001F6529"/>
    <w:rsid w:val="001F6E14"/>
    <w:rsid w:val="001F7C14"/>
    <w:rsid w:val="001F7E13"/>
    <w:rsid w:val="0020028A"/>
    <w:rsid w:val="0020047D"/>
    <w:rsid w:val="0020101A"/>
    <w:rsid w:val="00201481"/>
    <w:rsid w:val="002015B0"/>
    <w:rsid w:val="00201BCC"/>
    <w:rsid w:val="00201FFB"/>
    <w:rsid w:val="00202194"/>
    <w:rsid w:val="002026AF"/>
    <w:rsid w:val="00202F43"/>
    <w:rsid w:val="00203180"/>
    <w:rsid w:val="002053B8"/>
    <w:rsid w:val="0020606D"/>
    <w:rsid w:val="00206260"/>
    <w:rsid w:val="00206CA3"/>
    <w:rsid w:val="00206CDA"/>
    <w:rsid w:val="00207405"/>
    <w:rsid w:val="002108B1"/>
    <w:rsid w:val="002112C8"/>
    <w:rsid w:val="00211EB2"/>
    <w:rsid w:val="00212AE6"/>
    <w:rsid w:val="0021304E"/>
    <w:rsid w:val="0021306E"/>
    <w:rsid w:val="0021486D"/>
    <w:rsid w:val="0021509D"/>
    <w:rsid w:val="00215680"/>
    <w:rsid w:val="00215936"/>
    <w:rsid w:val="00216893"/>
    <w:rsid w:val="002222EF"/>
    <w:rsid w:val="00225B3B"/>
    <w:rsid w:val="002278BE"/>
    <w:rsid w:val="0023004D"/>
    <w:rsid w:val="00230335"/>
    <w:rsid w:val="00230CCB"/>
    <w:rsid w:val="002314F2"/>
    <w:rsid w:val="00231A17"/>
    <w:rsid w:val="00233114"/>
    <w:rsid w:val="002344BB"/>
    <w:rsid w:val="0023632F"/>
    <w:rsid w:val="00236560"/>
    <w:rsid w:val="00236F9C"/>
    <w:rsid w:val="0023738C"/>
    <w:rsid w:val="0024007B"/>
    <w:rsid w:val="00241F13"/>
    <w:rsid w:val="0024337B"/>
    <w:rsid w:val="00246022"/>
    <w:rsid w:val="00247546"/>
    <w:rsid w:val="00247872"/>
    <w:rsid w:val="00247DCC"/>
    <w:rsid w:val="002506DD"/>
    <w:rsid w:val="002538FC"/>
    <w:rsid w:val="002545D5"/>
    <w:rsid w:val="00254ED6"/>
    <w:rsid w:val="00255244"/>
    <w:rsid w:val="00255E6A"/>
    <w:rsid w:val="00260CC5"/>
    <w:rsid w:val="00263A1B"/>
    <w:rsid w:val="00263BE8"/>
    <w:rsid w:val="00264330"/>
    <w:rsid w:val="00264668"/>
    <w:rsid w:val="0026479E"/>
    <w:rsid w:val="002651E6"/>
    <w:rsid w:val="0026559C"/>
    <w:rsid w:val="002658CF"/>
    <w:rsid w:val="00265C40"/>
    <w:rsid w:val="00266953"/>
    <w:rsid w:val="00271F50"/>
    <w:rsid w:val="00272D5F"/>
    <w:rsid w:val="00272D78"/>
    <w:rsid w:val="00272E43"/>
    <w:rsid w:val="002749FC"/>
    <w:rsid w:val="0027635C"/>
    <w:rsid w:val="00276481"/>
    <w:rsid w:val="002767D1"/>
    <w:rsid w:val="00283E2A"/>
    <w:rsid w:val="002840BD"/>
    <w:rsid w:val="00284A4B"/>
    <w:rsid w:val="00285801"/>
    <w:rsid w:val="002867FC"/>
    <w:rsid w:val="00287F57"/>
    <w:rsid w:val="00291575"/>
    <w:rsid w:val="00292776"/>
    <w:rsid w:val="00293665"/>
    <w:rsid w:val="00293FDF"/>
    <w:rsid w:val="0029522C"/>
    <w:rsid w:val="00295B98"/>
    <w:rsid w:val="0029781C"/>
    <w:rsid w:val="00297B5C"/>
    <w:rsid w:val="002A08FC"/>
    <w:rsid w:val="002A2697"/>
    <w:rsid w:val="002A2870"/>
    <w:rsid w:val="002A2ADA"/>
    <w:rsid w:val="002A3981"/>
    <w:rsid w:val="002A3B55"/>
    <w:rsid w:val="002A51FD"/>
    <w:rsid w:val="002A5336"/>
    <w:rsid w:val="002A5AEE"/>
    <w:rsid w:val="002A63B6"/>
    <w:rsid w:val="002A6944"/>
    <w:rsid w:val="002A7250"/>
    <w:rsid w:val="002A7B3A"/>
    <w:rsid w:val="002B1B6C"/>
    <w:rsid w:val="002B2341"/>
    <w:rsid w:val="002B34EE"/>
    <w:rsid w:val="002B42D1"/>
    <w:rsid w:val="002B5AC1"/>
    <w:rsid w:val="002B6660"/>
    <w:rsid w:val="002C0C9D"/>
    <w:rsid w:val="002C10B3"/>
    <w:rsid w:val="002C1702"/>
    <w:rsid w:val="002C49F5"/>
    <w:rsid w:val="002C6323"/>
    <w:rsid w:val="002D1AEC"/>
    <w:rsid w:val="002D26D9"/>
    <w:rsid w:val="002D488E"/>
    <w:rsid w:val="002D5496"/>
    <w:rsid w:val="002D6097"/>
    <w:rsid w:val="002D7016"/>
    <w:rsid w:val="002D71D5"/>
    <w:rsid w:val="002E3E32"/>
    <w:rsid w:val="002E45E9"/>
    <w:rsid w:val="002E4B4A"/>
    <w:rsid w:val="002E7582"/>
    <w:rsid w:val="002F1212"/>
    <w:rsid w:val="002F24CE"/>
    <w:rsid w:val="002F25DB"/>
    <w:rsid w:val="002F57BD"/>
    <w:rsid w:val="003005E7"/>
    <w:rsid w:val="003024E0"/>
    <w:rsid w:val="00302875"/>
    <w:rsid w:val="00305451"/>
    <w:rsid w:val="00305486"/>
    <w:rsid w:val="00307FBE"/>
    <w:rsid w:val="0031008C"/>
    <w:rsid w:val="00310B54"/>
    <w:rsid w:val="003111BE"/>
    <w:rsid w:val="00312A9C"/>
    <w:rsid w:val="00313587"/>
    <w:rsid w:val="00313E34"/>
    <w:rsid w:val="00314304"/>
    <w:rsid w:val="0031434A"/>
    <w:rsid w:val="0031464C"/>
    <w:rsid w:val="003147F1"/>
    <w:rsid w:val="00314ED8"/>
    <w:rsid w:val="00315D5A"/>
    <w:rsid w:val="003172A7"/>
    <w:rsid w:val="00320C16"/>
    <w:rsid w:val="00324C7A"/>
    <w:rsid w:val="00325817"/>
    <w:rsid w:val="003258BD"/>
    <w:rsid w:val="0032723D"/>
    <w:rsid w:val="00327BF7"/>
    <w:rsid w:val="0033021D"/>
    <w:rsid w:val="0033142A"/>
    <w:rsid w:val="003318BC"/>
    <w:rsid w:val="00331BA7"/>
    <w:rsid w:val="00331CCD"/>
    <w:rsid w:val="00331DE2"/>
    <w:rsid w:val="0033205D"/>
    <w:rsid w:val="003323A9"/>
    <w:rsid w:val="00332EE3"/>
    <w:rsid w:val="00333867"/>
    <w:rsid w:val="00334F20"/>
    <w:rsid w:val="003353E4"/>
    <w:rsid w:val="00336EFD"/>
    <w:rsid w:val="00340409"/>
    <w:rsid w:val="00341132"/>
    <w:rsid w:val="0034181B"/>
    <w:rsid w:val="00342FCE"/>
    <w:rsid w:val="003439E9"/>
    <w:rsid w:val="003439EA"/>
    <w:rsid w:val="00343C21"/>
    <w:rsid w:val="0034492A"/>
    <w:rsid w:val="00344B61"/>
    <w:rsid w:val="003452EE"/>
    <w:rsid w:val="00347EB8"/>
    <w:rsid w:val="00347ED2"/>
    <w:rsid w:val="00351AC7"/>
    <w:rsid w:val="00352C8F"/>
    <w:rsid w:val="00353493"/>
    <w:rsid w:val="0035377E"/>
    <w:rsid w:val="00355F1E"/>
    <w:rsid w:val="003629DE"/>
    <w:rsid w:val="003641EC"/>
    <w:rsid w:val="0036499B"/>
    <w:rsid w:val="003656A7"/>
    <w:rsid w:val="003657C5"/>
    <w:rsid w:val="00366744"/>
    <w:rsid w:val="0036784E"/>
    <w:rsid w:val="00367BA7"/>
    <w:rsid w:val="0037069F"/>
    <w:rsid w:val="00370B33"/>
    <w:rsid w:val="00370C2F"/>
    <w:rsid w:val="003730A4"/>
    <w:rsid w:val="00376D4B"/>
    <w:rsid w:val="0037735C"/>
    <w:rsid w:val="00383885"/>
    <w:rsid w:val="00385B74"/>
    <w:rsid w:val="00385BEC"/>
    <w:rsid w:val="00387B7E"/>
    <w:rsid w:val="00390FCC"/>
    <w:rsid w:val="003918DE"/>
    <w:rsid w:val="00391E12"/>
    <w:rsid w:val="00391EB0"/>
    <w:rsid w:val="00394C13"/>
    <w:rsid w:val="0039570B"/>
    <w:rsid w:val="00396C21"/>
    <w:rsid w:val="00396C7D"/>
    <w:rsid w:val="00396EAB"/>
    <w:rsid w:val="00397E1B"/>
    <w:rsid w:val="003A0B3D"/>
    <w:rsid w:val="003A13C2"/>
    <w:rsid w:val="003A1DE1"/>
    <w:rsid w:val="003A2A99"/>
    <w:rsid w:val="003A3E39"/>
    <w:rsid w:val="003A42FF"/>
    <w:rsid w:val="003A4407"/>
    <w:rsid w:val="003A46D8"/>
    <w:rsid w:val="003A4BD3"/>
    <w:rsid w:val="003A5202"/>
    <w:rsid w:val="003A66D8"/>
    <w:rsid w:val="003B150D"/>
    <w:rsid w:val="003B2B8B"/>
    <w:rsid w:val="003B3306"/>
    <w:rsid w:val="003B380E"/>
    <w:rsid w:val="003B3C1A"/>
    <w:rsid w:val="003B3FF3"/>
    <w:rsid w:val="003B4F83"/>
    <w:rsid w:val="003B582C"/>
    <w:rsid w:val="003B5921"/>
    <w:rsid w:val="003B782E"/>
    <w:rsid w:val="003C00FC"/>
    <w:rsid w:val="003C03E1"/>
    <w:rsid w:val="003C108A"/>
    <w:rsid w:val="003C1EEA"/>
    <w:rsid w:val="003C28D5"/>
    <w:rsid w:val="003C3ABE"/>
    <w:rsid w:val="003C4ABE"/>
    <w:rsid w:val="003C62AD"/>
    <w:rsid w:val="003D0F67"/>
    <w:rsid w:val="003D2CA9"/>
    <w:rsid w:val="003D4A19"/>
    <w:rsid w:val="003D4D53"/>
    <w:rsid w:val="003D4F28"/>
    <w:rsid w:val="003D51C4"/>
    <w:rsid w:val="003D56EE"/>
    <w:rsid w:val="003D6A9D"/>
    <w:rsid w:val="003E0A6E"/>
    <w:rsid w:val="003E0C56"/>
    <w:rsid w:val="003E111C"/>
    <w:rsid w:val="003E14BD"/>
    <w:rsid w:val="003E38FD"/>
    <w:rsid w:val="003E395D"/>
    <w:rsid w:val="003E3BC6"/>
    <w:rsid w:val="003E4262"/>
    <w:rsid w:val="003E4962"/>
    <w:rsid w:val="003E5308"/>
    <w:rsid w:val="003E57E3"/>
    <w:rsid w:val="003E6839"/>
    <w:rsid w:val="003E6871"/>
    <w:rsid w:val="003E6A57"/>
    <w:rsid w:val="003E6E5B"/>
    <w:rsid w:val="003E6E97"/>
    <w:rsid w:val="003E7CD1"/>
    <w:rsid w:val="003F006A"/>
    <w:rsid w:val="003F0975"/>
    <w:rsid w:val="003F148F"/>
    <w:rsid w:val="003F3901"/>
    <w:rsid w:val="003F450A"/>
    <w:rsid w:val="003F58CB"/>
    <w:rsid w:val="003F71AE"/>
    <w:rsid w:val="003F7618"/>
    <w:rsid w:val="004001FD"/>
    <w:rsid w:val="0040026A"/>
    <w:rsid w:val="004006A3"/>
    <w:rsid w:val="0040154B"/>
    <w:rsid w:val="00401BC7"/>
    <w:rsid w:val="00405880"/>
    <w:rsid w:val="00405C9C"/>
    <w:rsid w:val="004061AA"/>
    <w:rsid w:val="00407A3A"/>
    <w:rsid w:val="00410235"/>
    <w:rsid w:val="004106A5"/>
    <w:rsid w:val="00413B58"/>
    <w:rsid w:val="00415930"/>
    <w:rsid w:val="00416842"/>
    <w:rsid w:val="004170AE"/>
    <w:rsid w:val="004208D4"/>
    <w:rsid w:val="00421C35"/>
    <w:rsid w:val="00421DF5"/>
    <w:rsid w:val="004229F9"/>
    <w:rsid w:val="00425DDF"/>
    <w:rsid w:val="00430754"/>
    <w:rsid w:val="00432B74"/>
    <w:rsid w:val="004330FD"/>
    <w:rsid w:val="00433AE4"/>
    <w:rsid w:val="00433D5B"/>
    <w:rsid w:val="00434DEB"/>
    <w:rsid w:val="00436FCE"/>
    <w:rsid w:val="00437A00"/>
    <w:rsid w:val="00440900"/>
    <w:rsid w:val="00442982"/>
    <w:rsid w:val="00443187"/>
    <w:rsid w:val="00443A4F"/>
    <w:rsid w:val="00444539"/>
    <w:rsid w:val="0044700B"/>
    <w:rsid w:val="00447F9A"/>
    <w:rsid w:val="004511EA"/>
    <w:rsid w:val="004515F7"/>
    <w:rsid w:val="00451692"/>
    <w:rsid w:val="00451A93"/>
    <w:rsid w:val="004523D3"/>
    <w:rsid w:val="00452674"/>
    <w:rsid w:val="0045412A"/>
    <w:rsid w:val="00455051"/>
    <w:rsid w:val="0045550B"/>
    <w:rsid w:val="00455F2B"/>
    <w:rsid w:val="00457B8F"/>
    <w:rsid w:val="00460515"/>
    <w:rsid w:val="00460753"/>
    <w:rsid w:val="00461E13"/>
    <w:rsid w:val="00461F4C"/>
    <w:rsid w:val="00462861"/>
    <w:rsid w:val="00462967"/>
    <w:rsid w:val="004644CD"/>
    <w:rsid w:val="004657D5"/>
    <w:rsid w:val="00466246"/>
    <w:rsid w:val="00466C4E"/>
    <w:rsid w:val="004705E3"/>
    <w:rsid w:val="00471E34"/>
    <w:rsid w:val="004733F5"/>
    <w:rsid w:val="00474389"/>
    <w:rsid w:val="0047481B"/>
    <w:rsid w:val="004755E3"/>
    <w:rsid w:val="00475F00"/>
    <w:rsid w:val="00476814"/>
    <w:rsid w:val="00480484"/>
    <w:rsid w:val="0048195C"/>
    <w:rsid w:val="00482ED0"/>
    <w:rsid w:val="004830E2"/>
    <w:rsid w:val="00484D9D"/>
    <w:rsid w:val="004872F2"/>
    <w:rsid w:val="00487415"/>
    <w:rsid w:val="004901A3"/>
    <w:rsid w:val="00490229"/>
    <w:rsid w:val="00490A01"/>
    <w:rsid w:val="00492E6A"/>
    <w:rsid w:val="0049588D"/>
    <w:rsid w:val="00497536"/>
    <w:rsid w:val="004A1AC5"/>
    <w:rsid w:val="004A201E"/>
    <w:rsid w:val="004A3174"/>
    <w:rsid w:val="004A5BB2"/>
    <w:rsid w:val="004A6C31"/>
    <w:rsid w:val="004A72EA"/>
    <w:rsid w:val="004A7881"/>
    <w:rsid w:val="004B0A72"/>
    <w:rsid w:val="004B11B7"/>
    <w:rsid w:val="004B174C"/>
    <w:rsid w:val="004B1AE9"/>
    <w:rsid w:val="004B1D79"/>
    <w:rsid w:val="004B1DD6"/>
    <w:rsid w:val="004B24C7"/>
    <w:rsid w:val="004B41E8"/>
    <w:rsid w:val="004B4ED4"/>
    <w:rsid w:val="004B4F0E"/>
    <w:rsid w:val="004B6AAF"/>
    <w:rsid w:val="004B7D19"/>
    <w:rsid w:val="004C01E7"/>
    <w:rsid w:val="004C058B"/>
    <w:rsid w:val="004C096A"/>
    <w:rsid w:val="004C12B2"/>
    <w:rsid w:val="004C1548"/>
    <w:rsid w:val="004C2C3D"/>
    <w:rsid w:val="004C2FD4"/>
    <w:rsid w:val="004C3178"/>
    <w:rsid w:val="004C4A06"/>
    <w:rsid w:val="004C4EA3"/>
    <w:rsid w:val="004C7C76"/>
    <w:rsid w:val="004D0D49"/>
    <w:rsid w:val="004D1368"/>
    <w:rsid w:val="004D1AFC"/>
    <w:rsid w:val="004D22CA"/>
    <w:rsid w:val="004D2672"/>
    <w:rsid w:val="004D2B27"/>
    <w:rsid w:val="004D37A2"/>
    <w:rsid w:val="004D3CDF"/>
    <w:rsid w:val="004D42E6"/>
    <w:rsid w:val="004D452E"/>
    <w:rsid w:val="004D4568"/>
    <w:rsid w:val="004D6721"/>
    <w:rsid w:val="004D69BD"/>
    <w:rsid w:val="004D6C32"/>
    <w:rsid w:val="004D7863"/>
    <w:rsid w:val="004E002D"/>
    <w:rsid w:val="004E085B"/>
    <w:rsid w:val="004E0B59"/>
    <w:rsid w:val="004E15C5"/>
    <w:rsid w:val="004E255D"/>
    <w:rsid w:val="004E25A5"/>
    <w:rsid w:val="004E3291"/>
    <w:rsid w:val="004E3923"/>
    <w:rsid w:val="004E4324"/>
    <w:rsid w:val="004E4DC5"/>
    <w:rsid w:val="004F0F5D"/>
    <w:rsid w:val="004F3242"/>
    <w:rsid w:val="004F4B47"/>
    <w:rsid w:val="004F4EBC"/>
    <w:rsid w:val="004F51FE"/>
    <w:rsid w:val="004F6549"/>
    <w:rsid w:val="00500B74"/>
    <w:rsid w:val="00502067"/>
    <w:rsid w:val="0050259D"/>
    <w:rsid w:val="00503B3F"/>
    <w:rsid w:val="00504637"/>
    <w:rsid w:val="0050582E"/>
    <w:rsid w:val="00507B06"/>
    <w:rsid w:val="00507B0D"/>
    <w:rsid w:val="00507BCB"/>
    <w:rsid w:val="00512E96"/>
    <w:rsid w:val="00513446"/>
    <w:rsid w:val="00514609"/>
    <w:rsid w:val="00515744"/>
    <w:rsid w:val="0052115F"/>
    <w:rsid w:val="005212F9"/>
    <w:rsid w:val="00521A30"/>
    <w:rsid w:val="00521E0D"/>
    <w:rsid w:val="0052264F"/>
    <w:rsid w:val="00523B1B"/>
    <w:rsid w:val="00524A71"/>
    <w:rsid w:val="00526DCD"/>
    <w:rsid w:val="00526F22"/>
    <w:rsid w:val="00527118"/>
    <w:rsid w:val="00532436"/>
    <w:rsid w:val="00534902"/>
    <w:rsid w:val="005353C7"/>
    <w:rsid w:val="00535F22"/>
    <w:rsid w:val="0053622B"/>
    <w:rsid w:val="00536675"/>
    <w:rsid w:val="00536D7A"/>
    <w:rsid w:val="0054180C"/>
    <w:rsid w:val="0054186D"/>
    <w:rsid w:val="00541FF6"/>
    <w:rsid w:val="00543367"/>
    <w:rsid w:val="005438A0"/>
    <w:rsid w:val="005456CD"/>
    <w:rsid w:val="00545B32"/>
    <w:rsid w:val="00546384"/>
    <w:rsid w:val="005475E3"/>
    <w:rsid w:val="00550838"/>
    <w:rsid w:val="00550B91"/>
    <w:rsid w:val="00551A7E"/>
    <w:rsid w:val="00551C5D"/>
    <w:rsid w:val="005525EC"/>
    <w:rsid w:val="005529FB"/>
    <w:rsid w:val="00552BDB"/>
    <w:rsid w:val="00553308"/>
    <w:rsid w:val="00555D08"/>
    <w:rsid w:val="00557597"/>
    <w:rsid w:val="00562AD6"/>
    <w:rsid w:val="00563318"/>
    <w:rsid w:val="0056374A"/>
    <w:rsid w:val="00565816"/>
    <w:rsid w:val="00567429"/>
    <w:rsid w:val="0056771F"/>
    <w:rsid w:val="005705A7"/>
    <w:rsid w:val="00572710"/>
    <w:rsid w:val="00575A45"/>
    <w:rsid w:val="00575DAA"/>
    <w:rsid w:val="00576959"/>
    <w:rsid w:val="005777A5"/>
    <w:rsid w:val="00577978"/>
    <w:rsid w:val="00581014"/>
    <w:rsid w:val="00581819"/>
    <w:rsid w:val="00581BEB"/>
    <w:rsid w:val="00582542"/>
    <w:rsid w:val="00582EA9"/>
    <w:rsid w:val="0058351B"/>
    <w:rsid w:val="00584DCB"/>
    <w:rsid w:val="00584E35"/>
    <w:rsid w:val="00585671"/>
    <w:rsid w:val="00590D14"/>
    <w:rsid w:val="00590EDA"/>
    <w:rsid w:val="005930BC"/>
    <w:rsid w:val="00593E2A"/>
    <w:rsid w:val="00595288"/>
    <w:rsid w:val="005962FA"/>
    <w:rsid w:val="0059773A"/>
    <w:rsid w:val="005A09FE"/>
    <w:rsid w:val="005A14E7"/>
    <w:rsid w:val="005A299F"/>
    <w:rsid w:val="005A539A"/>
    <w:rsid w:val="005A743C"/>
    <w:rsid w:val="005A7B37"/>
    <w:rsid w:val="005B0740"/>
    <w:rsid w:val="005B23E0"/>
    <w:rsid w:val="005B3F63"/>
    <w:rsid w:val="005B4F2C"/>
    <w:rsid w:val="005B5620"/>
    <w:rsid w:val="005B78B5"/>
    <w:rsid w:val="005C0006"/>
    <w:rsid w:val="005C11A1"/>
    <w:rsid w:val="005C28A7"/>
    <w:rsid w:val="005C2AA0"/>
    <w:rsid w:val="005C2C1A"/>
    <w:rsid w:val="005C3530"/>
    <w:rsid w:val="005C39ED"/>
    <w:rsid w:val="005C460A"/>
    <w:rsid w:val="005C46A6"/>
    <w:rsid w:val="005C4891"/>
    <w:rsid w:val="005C5C30"/>
    <w:rsid w:val="005C7BE3"/>
    <w:rsid w:val="005C7C93"/>
    <w:rsid w:val="005D008B"/>
    <w:rsid w:val="005D1CDB"/>
    <w:rsid w:val="005D5BD8"/>
    <w:rsid w:val="005D7299"/>
    <w:rsid w:val="005D7549"/>
    <w:rsid w:val="005D7C61"/>
    <w:rsid w:val="005E0407"/>
    <w:rsid w:val="005E05F7"/>
    <w:rsid w:val="005E2329"/>
    <w:rsid w:val="005E2B4F"/>
    <w:rsid w:val="005E34CC"/>
    <w:rsid w:val="005E42B3"/>
    <w:rsid w:val="005E54DC"/>
    <w:rsid w:val="005E62B0"/>
    <w:rsid w:val="005E6BDF"/>
    <w:rsid w:val="005E74EA"/>
    <w:rsid w:val="005F0190"/>
    <w:rsid w:val="005F1EC1"/>
    <w:rsid w:val="005F2202"/>
    <w:rsid w:val="005F4000"/>
    <w:rsid w:val="005F4B8C"/>
    <w:rsid w:val="005F4FD4"/>
    <w:rsid w:val="005F6E91"/>
    <w:rsid w:val="005F731A"/>
    <w:rsid w:val="00601AA1"/>
    <w:rsid w:val="006042B1"/>
    <w:rsid w:val="0060473C"/>
    <w:rsid w:val="00604B8D"/>
    <w:rsid w:val="00606B7C"/>
    <w:rsid w:val="00607211"/>
    <w:rsid w:val="00607A7B"/>
    <w:rsid w:val="006110D7"/>
    <w:rsid w:val="0061160E"/>
    <w:rsid w:val="006132BE"/>
    <w:rsid w:val="00613F88"/>
    <w:rsid w:val="00613FB7"/>
    <w:rsid w:val="00617201"/>
    <w:rsid w:val="006200A4"/>
    <w:rsid w:val="00620452"/>
    <w:rsid w:val="006210CA"/>
    <w:rsid w:val="00621B99"/>
    <w:rsid w:val="00621F8E"/>
    <w:rsid w:val="006223F7"/>
    <w:rsid w:val="00622731"/>
    <w:rsid w:val="0062354C"/>
    <w:rsid w:val="0062365C"/>
    <w:rsid w:val="0062375D"/>
    <w:rsid w:val="00624ED4"/>
    <w:rsid w:val="00625D24"/>
    <w:rsid w:val="00626313"/>
    <w:rsid w:val="006301E6"/>
    <w:rsid w:val="00631ABD"/>
    <w:rsid w:val="00632041"/>
    <w:rsid w:val="00634A40"/>
    <w:rsid w:val="00634F80"/>
    <w:rsid w:val="006363A2"/>
    <w:rsid w:val="006375E3"/>
    <w:rsid w:val="00642A4F"/>
    <w:rsid w:val="0064498D"/>
    <w:rsid w:val="006462B2"/>
    <w:rsid w:val="00646D05"/>
    <w:rsid w:val="00647EE7"/>
    <w:rsid w:val="00650DE4"/>
    <w:rsid w:val="006517EE"/>
    <w:rsid w:val="00652745"/>
    <w:rsid w:val="0065299D"/>
    <w:rsid w:val="00653FE9"/>
    <w:rsid w:val="00655591"/>
    <w:rsid w:val="00655DE9"/>
    <w:rsid w:val="006562AC"/>
    <w:rsid w:val="00660DBB"/>
    <w:rsid w:val="006623A2"/>
    <w:rsid w:val="00662801"/>
    <w:rsid w:val="00663242"/>
    <w:rsid w:val="00663F6F"/>
    <w:rsid w:val="00670DF3"/>
    <w:rsid w:val="006711A4"/>
    <w:rsid w:val="006729C1"/>
    <w:rsid w:val="00672B15"/>
    <w:rsid w:val="00672DA9"/>
    <w:rsid w:val="00673075"/>
    <w:rsid w:val="00673822"/>
    <w:rsid w:val="00674862"/>
    <w:rsid w:val="0067540E"/>
    <w:rsid w:val="00675A5F"/>
    <w:rsid w:val="006777AE"/>
    <w:rsid w:val="00682CEC"/>
    <w:rsid w:val="00683590"/>
    <w:rsid w:val="006865B7"/>
    <w:rsid w:val="00687343"/>
    <w:rsid w:val="00692A13"/>
    <w:rsid w:val="00692F85"/>
    <w:rsid w:val="006949DD"/>
    <w:rsid w:val="00694CAB"/>
    <w:rsid w:val="0069535F"/>
    <w:rsid w:val="006A1BC7"/>
    <w:rsid w:val="006A3D86"/>
    <w:rsid w:val="006A47F2"/>
    <w:rsid w:val="006A4C5D"/>
    <w:rsid w:val="006A5872"/>
    <w:rsid w:val="006A6A31"/>
    <w:rsid w:val="006B0774"/>
    <w:rsid w:val="006B34A3"/>
    <w:rsid w:val="006B4955"/>
    <w:rsid w:val="006B594C"/>
    <w:rsid w:val="006B77E2"/>
    <w:rsid w:val="006B7A50"/>
    <w:rsid w:val="006B7F3B"/>
    <w:rsid w:val="006C0999"/>
    <w:rsid w:val="006C0D67"/>
    <w:rsid w:val="006C0ED2"/>
    <w:rsid w:val="006C1EA8"/>
    <w:rsid w:val="006C2BBB"/>
    <w:rsid w:val="006C4659"/>
    <w:rsid w:val="006C4CEF"/>
    <w:rsid w:val="006D016B"/>
    <w:rsid w:val="006D0A27"/>
    <w:rsid w:val="006D171B"/>
    <w:rsid w:val="006D1CB1"/>
    <w:rsid w:val="006D1F1E"/>
    <w:rsid w:val="006D3D04"/>
    <w:rsid w:val="006D49A3"/>
    <w:rsid w:val="006D70F3"/>
    <w:rsid w:val="006E105C"/>
    <w:rsid w:val="006E1917"/>
    <w:rsid w:val="006E1C04"/>
    <w:rsid w:val="006E4BA8"/>
    <w:rsid w:val="006E52C2"/>
    <w:rsid w:val="006E5320"/>
    <w:rsid w:val="006E5701"/>
    <w:rsid w:val="006E7D5D"/>
    <w:rsid w:val="006F0C27"/>
    <w:rsid w:val="006F1498"/>
    <w:rsid w:val="006F2C82"/>
    <w:rsid w:val="006F6286"/>
    <w:rsid w:val="006F6372"/>
    <w:rsid w:val="006F73B0"/>
    <w:rsid w:val="006F7910"/>
    <w:rsid w:val="006F7AE9"/>
    <w:rsid w:val="00700A0F"/>
    <w:rsid w:val="00701107"/>
    <w:rsid w:val="00701146"/>
    <w:rsid w:val="00702369"/>
    <w:rsid w:val="00702977"/>
    <w:rsid w:val="00704FAE"/>
    <w:rsid w:val="00705849"/>
    <w:rsid w:val="00705F80"/>
    <w:rsid w:val="0070762F"/>
    <w:rsid w:val="007078A7"/>
    <w:rsid w:val="00707B51"/>
    <w:rsid w:val="00710651"/>
    <w:rsid w:val="00710FD9"/>
    <w:rsid w:val="0071124B"/>
    <w:rsid w:val="00713448"/>
    <w:rsid w:val="0071429E"/>
    <w:rsid w:val="0071518B"/>
    <w:rsid w:val="007152AA"/>
    <w:rsid w:val="00716094"/>
    <w:rsid w:val="00716802"/>
    <w:rsid w:val="007168AA"/>
    <w:rsid w:val="00717028"/>
    <w:rsid w:val="00720BDD"/>
    <w:rsid w:val="00720F6F"/>
    <w:rsid w:val="00722FBE"/>
    <w:rsid w:val="00725864"/>
    <w:rsid w:val="0072588C"/>
    <w:rsid w:val="00725D6E"/>
    <w:rsid w:val="007260F1"/>
    <w:rsid w:val="00727402"/>
    <w:rsid w:val="00740FCE"/>
    <w:rsid w:val="00742B7B"/>
    <w:rsid w:val="00742EAE"/>
    <w:rsid w:val="007438AA"/>
    <w:rsid w:val="00744FC8"/>
    <w:rsid w:val="007451C7"/>
    <w:rsid w:val="00750310"/>
    <w:rsid w:val="00750AEC"/>
    <w:rsid w:val="00750FE7"/>
    <w:rsid w:val="00751B53"/>
    <w:rsid w:val="00751D12"/>
    <w:rsid w:val="00752A8B"/>
    <w:rsid w:val="007532AC"/>
    <w:rsid w:val="00753448"/>
    <w:rsid w:val="007553C8"/>
    <w:rsid w:val="007568D5"/>
    <w:rsid w:val="00756BFA"/>
    <w:rsid w:val="007571DA"/>
    <w:rsid w:val="00761A29"/>
    <w:rsid w:val="00762AC5"/>
    <w:rsid w:val="00763057"/>
    <w:rsid w:val="0076378B"/>
    <w:rsid w:val="00765A71"/>
    <w:rsid w:val="0076621B"/>
    <w:rsid w:val="00766E99"/>
    <w:rsid w:val="00770282"/>
    <w:rsid w:val="00770517"/>
    <w:rsid w:val="0077237E"/>
    <w:rsid w:val="00772AB6"/>
    <w:rsid w:val="00772AD0"/>
    <w:rsid w:val="00773216"/>
    <w:rsid w:val="00773ACF"/>
    <w:rsid w:val="007747A9"/>
    <w:rsid w:val="00775923"/>
    <w:rsid w:val="007779E9"/>
    <w:rsid w:val="00790D09"/>
    <w:rsid w:val="007915DD"/>
    <w:rsid w:val="0079192A"/>
    <w:rsid w:val="00792B10"/>
    <w:rsid w:val="00793CAF"/>
    <w:rsid w:val="00795D36"/>
    <w:rsid w:val="007A0289"/>
    <w:rsid w:val="007A12E4"/>
    <w:rsid w:val="007A430A"/>
    <w:rsid w:val="007A4702"/>
    <w:rsid w:val="007A5B76"/>
    <w:rsid w:val="007A5D6C"/>
    <w:rsid w:val="007A7622"/>
    <w:rsid w:val="007A7ABA"/>
    <w:rsid w:val="007B10D6"/>
    <w:rsid w:val="007B26D1"/>
    <w:rsid w:val="007B27C8"/>
    <w:rsid w:val="007B391F"/>
    <w:rsid w:val="007B408C"/>
    <w:rsid w:val="007B589C"/>
    <w:rsid w:val="007B5ACC"/>
    <w:rsid w:val="007B601C"/>
    <w:rsid w:val="007B60EB"/>
    <w:rsid w:val="007B6FC1"/>
    <w:rsid w:val="007B7E1B"/>
    <w:rsid w:val="007C0C38"/>
    <w:rsid w:val="007C1745"/>
    <w:rsid w:val="007C1816"/>
    <w:rsid w:val="007C21FB"/>
    <w:rsid w:val="007C2932"/>
    <w:rsid w:val="007C51D5"/>
    <w:rsid w:val="007C69C6"/>
    <w:rsid w:val="007C729B"/>
    <w:rsid w:val="007D10EA"/>
    <w:rsid w:val="007D4945"/>
    <w:rsid w:val="007D6FB0"/>
    <w:rsid w:val="007E08D0"/>
    <w:rsid w:val="007E20C3"/>
    <w:rsid w:val="007E2572"/>
    <w:rsid w:val="007E276C"/>
    <w:rsid w:val="007E3C9A"/>
    <w:rsid w:val="007E47B5"/>
    <w:rsid w:val="007E516D"/>
    <w:rsid w:val="007E52BA"/>
    <w:rsid w:val="007E605A"/>
    <w:rsid w:val="007E6F73"/>
    <w:rsid w:val="007F11FB"/>
    <w:rsid w:val="007F3091"/>
    <w:rsid w:val="007F35E1"/>
    <w:rsid w:val="007F6A11"/>
    <w:rsid w:val="007F77FF"/>
    <w:rsid w:val="007F7AEB"/>
    <w:rsid w:val="00801379"/>
    <w:rsid w:val="0080192D"/>
    <w:rsid w:val="00802CDD"/>
    <w:rsid w:val="008046DC"/>
    <w:rsid w:val="0080470B"/>
    <w:rsid w:val="00805039"/>
    <w:rsid w:val="00812308"/>
    <w:rsid w:val="00813055"/>
    <w:rsid w:val="0081377F"/>
    <w:rsid w:val="008159DD"/>
    <w:rsid w:val="008160E0"/>
    <w:rsid w:val="00816736"/>
    <w:rsid w:val="00816A7E"/>
    <w:rsid w:val="008171A6"/>
    <w:rsid w:val="008177B5"/>
    <w:rsid w:val="00820060"/>
    <w:rsid w:val="0082053A"/>
    <w:rsid w:val="00820F0D"/>
    <w:rsid w:val="008215E3"/>
    <w:rsid w:val="00824039"/>
    <w:rsid w:val="00824129"/>
    <w:rsid w:val="00824A1B"/>
    <w:rsid w:val="00824E37"/>
    <w:rsid w:val="00824E55"/>
    <w:rsid w:val="00825E62"/>
    <w:rsid w:val="008267F4"/>
    <w:rsid w:val="00826AFB"/>
    <w:rsid w:val="00827B40"/>
    <w:rsid w:val="00831D05"/>
    <w:rsid w:val="00831DCC"/>
    <w:rsid w:val="00831DF1"/>
    <w:rsid w:val="00832310"/>
    <w:rsid w:val="00833573"/>
    <w:rsid w:val="00833ACC"/>
    <w:rsid w:val="00833B9D"/>
    <w:rsid w:val="00836730"/>
    <w:rsid w:val="00836DA3"/>
    <w:rsid w:val="0084138D"/>
    <w:rsid w:val="00843898"/>
    <w:rsid w:val="00843EB9"/>
    <w:rsid w:val="0084493C"/>
    <w:rsid w:val="00845149"/>
    <w:rsid w:val="00846C86"/>
    <w:rsid w:val="00850B7B"/>
    <w:rsid w:val="008525C4"/>
    <w:rsid w:val="008529D7"/>
    <w:rsid w:val="00852E1C"/>
    <w:rsid w:val="00854134"/>
    <w:rsid w:val="00854525"/>
    <w:rsid w:val="008547C4"/>
    <w:rsid w:val="00854E27"/>
    <w:rsid w:val="00855FF6"/>
    <w:rsid w:val="008561C0"/>
    <w:rsid w:val="008569AD"/>
    <w:rsid w:val="00856F16"/>
    <w:rsid w:val="00860ABB"/>
    <w:rsid w:val="0086253F"/>
    <w:rsid w:val="008637AD"/>
    <w:rsid w:val="008638A5"/>
    <w:rsid w:val="00864FA3"/>
    <w:rsid w:val="00866750"/>
    <w:rsid w:val="00866DEB"/>
    <w:rsid w:val="00871004"/>
    <w:rsid w:val="00871839"/>
    <w:rsid w:val="00871BD2"/>
    <w:rsid w:val="00872F0A"/>
    <w:rsid w:val="00873B06"/>
    <w:rsid w:val="00874071"/>
    <w:rsid w:val="0087450F"/>
    <w:rsid w:val="00874B09"/>
    <w:rsid w:val="00876EC8"/>
    <w:rsid w:val="00880E4E"/>
    <w:rsid w:val="00881256"/>
    <w:rsid w:val="00884379"/>
    <w:rsid w:val="00884EEF"/>
    <w:rsid w:val="00885561"/>
    <w:rsid w:val="008857DD"/>
    <w:rsid w:val="00890D2F"/>
    <w:rsid w:val="00891D4F"/>
    <w:rsid w:val="00894FDE"/>
    <w:rsid w:val="00896EC9"/>
    <w:rsid w:val="00897893"/>
    <w:rsid w:val="00897A7E"/>
    <w:rsid w:val="008A0D75"/>
    <w:rsid w:val="008A177E"/>
    <w:rsid w:val="008A23A6"/>
    <w:rsid w:val="008A3A83"/>
    <w:rsid w:val="008A5869"/>
    <w:rsid w:val="008A6035"/>
    <w:rsid w:val="008A671D"/>
    <w:rsid w:val="008A7287"/>
    <w:rsid w:val="008B0752"/>
    <w:rsid w:val="008B188E"/>
    <w:rsid w:val="008B2AF1"/>
    <w:rsid w:val="008B5F63"/>
    <w:rsid w:val="008B7E8E"/>
    <w:rsid w:val="008C00DC"/>
    <w:rsid w:val="008C07E7"/>
    <w:rsid w:val="008C1CD7"/>
    <w:rsid w:val="008C2B3E"/>
    <w:rsid w:val="008C312F"/>
    <w:rsid w:val="008C5180"/>
    <w:rsid w:val="008C5AF9"/>
    <w:rsid w:val="008C6122"/>
    <w:rsid w:val="008C65D5"/>
    <w:rsid w:val="008C7174"/>
    <w:rsid w:val="008D5252"/>
    <w:rsid w:val="008D5441"/>
    <w:rsid w:val="008D78BF"/>
    <w:rsid w:val="008E0BF7"/>
    <w:rsid w:val="008E0F8E"/>
    <w:rsid w:val="008E1DBC"/>
    <w:rsid w:val="008E29C8"/>
    <w:rsid w:val="008E3EFB"/>
    <w:rsid w:val="008E5070"/>
    <w:rsid w:val="008E56DB"/>
    <w:rsid w:val="008E5BF1"/>
    <w:rsid w:val="008E7655"/>
    <w:rsid w:val="008F0138"/>
    <w:rsid w:val="008F1995"/>
    <w:rsid w:val="008F1FD6"/>
    <w:rsid w:val="008F225C"/>
    <w:rsid w:val="008F3359"/>
    <w:rsid w:val="008F3954"/>
    <w:rsid w:val="008F3984"/>
    <w:rsid w:val="008F3AD5"/>
    <w:rsid w:val="008F3B4A"/>
    <w:rsid w:val="008F44A3"/>
    <w:rsid w:val="008F5ED8"/>
    <w:rsid w:val="009016BC"/>
    <w:rsid w:val="00902C52"/>
    <w:rsid w:val="00904462"/>
    <w:rsid w:val="0090499F"/>
    <w:rsid w:val="00904D5E"/>
    <w:rsid w:val="00906CC8"/>
    <w:rsid w:val="00906D87"/>
    <w:rsid w:val="00910B30"/>
    <w:rsid w:val="00911BA5"/>
    <w:rsid w:val="00913173"/>
    <w:rsid w:val="00913B23"/>
    <w:rsid w:val="00913B89"/>
    <w:rsid w:val="00914EB3"/>
    <w:rsid w:val="0091575A"/>
    <w:rsid w:val="00915CE9"/>
    <w:rsid w:val="0091655F"/>
    <w:rsid w:val="00916F51"/>
    <w:rsid w:val="00917C23"/>
    <w:rsid w:val="00917F2F"/>
    <w:rsid w:val="00920347"/>
    <w:rsid w:val="009215ED"/>
    <w:rsid w:val="00921B0E"/>
    <w:rsid w:val="009229DE"/>
    <w:rsid w:val="009233DE"/>
    <w:rsid w:val="00924D19"/>
    <w:rsid w:val="00925768"/>
    <w:rsid w:val="0092654B"/>
    <w:rsid w:val="009268B8"/>
    <w:rsid w:val="009277DB"/>
    <w:rsid w:val="009376CA"/>
    <w:rsid w:val="00940D4B"/>
    <w:rsid w:val="00940EFA"/>
    <w:rsid w:val="00941318"/>
    <w:rsid w:val="009435E6"/>
    <w:rsid w:val="00943F02"/>
    <w:rsid w:val="00944E1E"/>
    <w:rsid w:val="009450B1"/>
    <w:rsid w:val="00945303"/>
    <w:rsid w:val="0094583E"/>
    <w:rsid w:val="00945E2C"/>
    <w:rsid w:val="00945F70"/>
    <w:rsid w:val="0094787A"/>
    <w:rsid w:val="00947B62"/>
    <w:rsid w:val="00950470"/>
    <w:rsid w:val="00950A4F"/>
    <w:rsid w:val="00950B80"/>
    <w:rsid w:val="009510FB"/>
    <w:rsid w:val="0095182F"/>
    <w:rsid w:val="00951A15"/>
    <w:rsid w:val="00951EC1"/>
    <w:rsid w:val="00952496"/>
    <w:rsid w:val="00953605"/>
    <w:rsid w:val="0095483C"/>
    <w:rsid w:val="00956263"/>
    <w:rsid w:val="009567D1"/>
    <w:rsid w:val="00956A24"/>
    <w:rsid w:val="009602B8"/>
    <w:rsid w:val="00960730"/>
    <w:rsid w:val="009612D2"/>
    <w:rsid w:val="00962A29"/>
    <w:rsid w:val="009633CC"/>
    <w:rsid w:val="00964D5F"/>
    <w:rsid w:val="00964DCB"/>
    <w:rsid w:val="009651AD"/>
    <w:rsid w:val="00965D88"/>
    <w:rsid w:val="00965DDC"/>
    <w:rsid w:val="00967EEE"/>
    <w:rsid w:val="00967F85"/>
    <w:rsid w:val="00970124"/>
    <w:rsid w:val="009718F1"/>
    <w:rsid w:val="009739FB"/>
    <w:rsid w:val="00973DBC"/>
    <w:rsid w:val="0097433D"/>
    <w:rsid w:val="00976D5A"/>
    <w:rsid w:val="00980976"/>
    <w:rsid w:val="00981621"/>
    <w:rsid w:val="00981A10"/>
    <w:rsid w:val="00981E07"/>
    <w:rsid w:val="0098355C"/>
    <w:rsid w:val="009837DF"/>
    <w:rsid w:val="00984B0C"/>
    <w:rsid w:val="00984E8D"/>
    <w:rsid w:val="00986B11"/>
    <w:rsid w:val="00986F0D"/>
    <w:rsid w:val="00987D57"/>
    <w:rsid w:val="0099088B"/>
    <w:rsid w:val="00991546"/>
    <w:rsid w:val="00991945"/>
    <w:rsid w:val="00996C23"/>
    <w:rsid w:val="009A1859"/>
    <w:rsid w:val="009A3277"/>
    <w:rsid w:val="009A32A3"/>
    <w:rsid w:val="009A3D94"/>
    <w:rsid w:val="009A3E64"/>
    <w:rsid w:val="009A65B2"/>
    <w:rsid w:val="009A6AA0"/>
    <w:rsid w:val="009A6AD3"/>
    <w:rsid w:val="009A6FFB"/>
    <w:rsid w:val="009A74E9"/>
    <w:rsid w:val="009B083B"/>
    <w:rsid w:val="009B1C17"/>
    <w:rsid w:val="009B1CB3"/>
    <w:rsid w:val="009B39E3"/>
    <w:rsid w:val="009B39FD"/>
    <w:rsid w:val="009C00F4"/>
    <w:rsid w:val="009C025F"/>
    <w:rsid w:val="009C08C0"/>
    <w:rsid w:val="009C0AB7"/>
    <w:rsid w:val="009C0C4B"/>
    <w:rsid w:val="009C27FF"/>
    <w:rsid w:val="009C2D09"/>
    <w:rsid w:val="009C6F84"/>
    <w:rsid w:val="009C71F3"/>
    <w:rsid w:val="009C7A95"/>
    <w:rsid w:val="009D01E2"/>
    <w:rsid w:val="009D09F1"/>
    <w:rsid w:val="009D12B1"/>
    <w:rsid w:val="009D36B3"/>
    <w:rsid w:val="009D4602"/>
    <w:rsid w:val="009D622D"/>
    <w:rsid w:val="009D6D51"/>
    <w:rsid w:val="009D739B"/>
    <w:rsid w:val="009D76A0"/>
    <w:rsid w:val="009E1366"/>
    <w:rsid w:val="009E3F5F"/>
    <w:rsid w:val="009E514A"/>
    <w:rsid w:val="009F1390"/>
    <w:rsid w:val="009F1DC2"/>
    <w:rsid w:val="009F2692"/>
    <w:rsid w:val="009F3E48"/>
    <w:rsid w:val="009F4BE9"/>
    <w:rsid w:val="009F503B"/>
    <w:rsid w:val="009F64FE"/>
    <w:rsid w:val="009F6F17"/>
    <w:rsid w:val="009F73B5"/>
    <w:rsid w:val="00A0147E"/>
    <w:rsid w:val="00A01F5D"/>
    <w:rsid w:val="00A04B12"/>
    <w:rsid w:val="00A04C8C"/>
    <w:rsid w:val="00A0589F"/>
    <w:rsid w:val="00A065E1"/>
    <w:rsid w:val="00A067E3"/>
    <w:rsid w:val="00A1269F"/>
    <w:rsid w:val="00A12C3A"/>
    <w:rsid w:val="00A143A7"/>
    <w:rsid w:val="00A14EE9"/>
    <w:rsid w:val="00A15A07"/>
    <w:rsid w:val="00A165CD"/>
    <w:rsid w:val="00A16EEE"/>
    <w:rsid w:val="00A17231"/>
    <w:rsid w:val="00A17952"/>
    <w:rsid w:val="00A207DB"/>
    <w:rsid w:val="00A2133C"/>
    <w:rsid w:val="00A21D32"/>
    <w:rsid w:val="00A235E0"/>
    <w:rsid w:val="00A2493C"/>
    <w:rsid w:val="00A30386"/>
    <w:rsid w:val="00A30522"/>
    <w:rsid w:val="00A30887"/>
    <w:rsid w:val="00A35EA1"/>
    <w:rsid w:val="00A361C1"/>
    <w:rsid w:val="00A3684E"/>
    <w:rsid w:val="00A372A2"/>
    <w:rsid w:val="00A41CC6"/>
    <w:rsid w:val="00A42B74"/>
    <w:rsid w:val="00A42FA6"/>
    <w:rsid w:val="00A43080"/>
    <w:rsid w:val="00A439ED"/>
    <w:rsid w:val="00A45C00"/>
    <w:rsid w:val="00A45CA4"/>
    <w:rsid w:val="00A46E62"/>
    <w:rsid w:val="00A47C5C"/>
    <w:rsid w:val="00A50A30"/>
    <w:rsid w:val="00A518BE"/>
    <w:rsid w:val="00A51A1E"/>
    <w:rsid w:val="00A51AAB"/>
    <w:rsid w:val="00A51FC7"/>
    <w:rsid w:val="00A52C73"/>
    <w:rsid w:val="00A535FC"/>
    <w:rsid w:val="00A5378B"/>
    <w:rsid w:val="00A53BD0"/>
    <w:rsid w:val="00A54F9B"/>
    <w:rsid w:val="00A601C5"/>
    <w:rsid w:val="00A60435"/>
    <w:rsid w:val="00A60A7E"/>
    <w:rsid w:val="00A60ED7"/>
    <w:rsid w:val="00A61178"/>
    <w:rsid w:val="00A61C47"/>
    <w:rsid w:val="00A61C8A"/>
    <w:rsid w:val="00A625D7"/>
    <w:rsid w:val="00A640FF"/>
    <w:rsid w:val="00A64342"/>
    <w:rsid w:val="00A65535"/>
    <w:rsid w:val="00A65FD6"/>
    <w:rsid w:val="00A661E9"/>
    <w:rsid w:val="00A670B1"/>
    <w:rsid w:val="00A67BB6"/>
    <w:rsid w:val="00A7031A"/>
    <w:rsid w:val="00A70A1D"/>
    <w:rsid w:val="00A723CA"/>
    <w:rsid w:val="00A726C4"/>
    <w:rsid w:val="00A72E28"/>
    <w:rsid w:val="00A731F4"/>
    <w:rsid w:val="00A7604C"/>
    <w:rsid w:val="00A761A0"/>
    <w:rsid w:val="00A76252"/>
    <w:rsid w:val="00A765DC"/>
    <w:rsid w:val="00A76BFC"/>
    <w:rsid w:val="00A76EAB"/>
    <w:rsid w:val="00A8082D"/>
    <w:rsid w:val="00A80A88"/>
    <w:rsid w:val="00A81513"/>
    <w:rsid w:val="00A8293E"/>
    <w:rsid w:val="00A83372"/>
    <w:rsid w:val="00A8395B"/>
    <w:rsid w:val="00A83C63"/>
    <w:rsid w:val="00A860E1"/>
    <w:rsid w:val="00A8716A"/>
    <w:rsid w:val="00A87B06"/>
    <w:rsid w:val="00A90C95"/>
    <w:rsid w:val="00A91E74"/>
    <w:rsid w:val="00A94182"/>
    <w:rsid w:val="00A942DE"/>
    <w:rsid w:val="00A962B3"/>
    <w:rsid w:val="00A97A8D"/>
    <w:rsid w:val="00AA255D"/>
    <w:rsid w:val="00AA5B30"/>
    <w:rsid w:val="00AB0C10"/>
    <w:rsid w:val="00AB0FC3"/>
    <w:rsid w:val="00AB2D58"/>
    <w:rsid w:val="00AB4246"/>
    <w:rsid w:val="00AB4DEE"/>
    <w:rsid w:val="00AB5570"/>
    <w:rsid w:val="00AB5B4F"/>
    <w:rsid w:val="00AB5EAA"/>
    <w:rsid w:val="00AB6444"/>
    <w:rsid w:val="00AB6713"/>
    <w:rsid w:val="00AB69D7"/>
    <w:rsid w:val="00AB788B"/>
    <w:rsid w:val="00AC10D8"/>
    <w:rsid w:val="00AC1B3A"/>
    <w:rsid w:val="00AC7E5E"/>
    <w:rsid w:val="00AD1336"/>
    <w:rsid w:val="00AD43C4"/>
    <w:rsid w:val="00AD444D"/>
    <w:rsid w:val="00AD5B79"/>
    <w:rsid w:val="00AD62A7"/>
    <w:rsid w:val="00AD6DF0"/>
    <w:rsid w:val="00AD7141"/>
    <w:rsid w:val="00AE1F26"/>
    <w:rsid w:val="00AE2FFE"/>
    <w:rsid w:val="00AE3C00"/>
    <w:rsid w:val="00AE3F32"/>
    <w:rsid w:val="00AE4AB9"/>
    <w:rsid w:val="00AE65E3"/>
    <w:rsid w:val="00AE7B05"/>
    <w:rsid w:val="00AF0BE1"/>
    <w:rsid w:val="00AF0E1D"/>
    <w:rsid w:val="00AF1D7A"/>
    <w:rsid w:val="00AF2910"/>
    <w:rsid w:val="00AF3975"/>
    <w:rsid w:val="00AF3B7E"/>
    <w:rsid w:val="00AF5A8A"/>
    <w:rsid w:val="00B00D77"/>
    <w:rsid w:val="00B01993"/>
    <w:rsid w:val="00B02A09"/>
    <w:rsid w:val="00B02A71"/>
    <w:rsid w:val="00B02EE7"/>
    <w:rsid w:val="00B03362"/>
    <w:rsid w:val="00B0425B"/>
    <w:rsid w:val="00B0531D"/>
    <w:rsid w:val="00B07D65"/>
    <w:rsid w:val="00B105E7"/>
    <w:rsid w:val="00B127E9"/>
    <w:rsid w:val="00B14854"/>
    <w:rsid w:val="00B14CB6"/>
    <w:rsid w:val="00B15845"/>
    <w:rsid w:val="00B17115"/>
    <w:rsid w:val="00B208C7"/>
    <w:rsid w:val="00B21C61"/>
    <w:rsid w:val="00B22E91"/>
    <w:rsid w:val="00B23655"/>
    <w:rsid w:val="00B2433F"/>
    <w:rsid w:val="00B26BCF"/>
    <w:rsid w:val="00B316DC"/>
    <w:rsid w:val="00B31D52"/>
    <w:rsid w:val="00B33C67"/>
    <w:rsid w:val="00B34737"/>
    <w:rsid w:val="00B34C60"/>
    <w:rsid w:val="00B34E90"/>
    <w:rsid w:val="00B366AA"/>
    <w:rsid w:val="00B36898"/>
    <w:rsid w:val="00B36B8A"/>
    <w:rsid w:val="00B40613"/>
    <w:rsid w:val="00B4083C"/>
    <w:rsid w:val="00B41351"/>
    <w:rsid w:val="00B41465"/>
    <w:rsid w:val="00B41A30"/>
    <w:rsid w:val="00B41BA8"/>
    <w:rsid w:val="00B42371"/>
    <w:rsid w:val="00B446ED"/>
    <w:rsid w:val="00B447B4"/>
    <w:rsid w:val="00B460BD"/>
    <w:rsid w:val="00B47D03"/>
    <w:rsid w:val="00B51088"/>
    <w:rsid w:val="00B51AEB"/>
    <w:rsid w:val="00B52F1F"/>
    <w:rsid w:val="00B5397D"/>
    <w:rsid w:val="00B539DD"/>
    <w:rsid w:val="00B54D4E"/>
    <w:rsid w:val="00B552FB"/>
    <w:rsid w:val="00B5636A"/>
    <w:rsid w:val="00B57122"/>
    <w:rsid w:val="00B57FEE"/>
    <w:rsid w:val="00B609A6"/>
    <w:rsid w:val="00B60F77"/>
    <w:rsid w:val="00B624C7"/>
    <w:rsid w:val="00B63863"/>
    <w:rsid w:val="00B6452F"/>
    <w:rsid w:val="00B64F00"/>
    <w:rsid w:val="00B675FD"/>
    <w:rsid w:val="00B713FF"/>
    <w:rsid w:val="00B71426"/>
    <w:rsid w:val="00B71834"/>
    <w:rsid w:val="00B71A4B"/>
    <w:rsid w:val="00B72616"/>
    <w:rsid w:val="00B72963"/>
    <w:rsid w:val="00B72BFE"/>
    <w:rsid w:val="00B7564F"/>
    <w:rsid w:val="00B77AED"/>
    <w:rsid w:val="00B82391"/>
    <w:rsid w:val="00B8375E"/>
    <w:rsid w:val="00B83DDA"/>
    <w:rsid w:val="00B84C1B"/>
    <w:rsid w:val="00B85537"/>
    <w:rsid w:val="00B86097"/>
    <w:rsid w:val="00B862A6"/>
    <w:rsid w:val="00B87297"/>
    <w:rsid w:val="00B87AD7"/>
    <w:rsid w:val="00B87DAA"/>
    <w:rsid w:val="00B9024E"/>
    <w:rsid w:val="00B90550"/>
    <w:rsid w:val="00B911F7"/>
    <w:rsid w:val="00B9222B"/>
    <w:rsid w:val="00B9226D"/>
    <w:rsid w:val="00B922D0"/>
    <w:rsid w:val="00B934C4"/>
    <w:rsid w:val="00B9360E"/>
    <w:rsid w:val="00B9375B"/>
    <w:rsid w:val="00B94620"/>
    <w:rsid w:val="00B953E0"/>
    <w:rsid w:val="00B96B9D"/>
    <w:rsid w:val="00B96E3C"/>
    <w:rsid w:val="00BA0238"/>
    <w:rsid w:val="00BA085C"/>
    <w:rsid w:val="00BA14CE"/>
    <w:rsid w:val="00BA2BC8"/>
    <w:rsid w:val="00BA3DBE"/>
    <w:rsid w:val="00BA458A"/>
    <w:rsid w:val="00BA553B"/>
    <w:rsid w:val="00BA5D76"/>
    <w:rsid w:val="00BA6A2A"/>
    <w:rsid w:val="00BA743E"/>
    <w:rsid w:val="00BB13FC"/>
    <w:rsid w:val="00BB30CB"/>
    <w:rsid w:val="00BB31FF"/>
    <w:rsid w:val="00BB3D20"/>
    <w:rsid w:val="00BB3F93"/>
    <w:rsid w:val="00BB490C"/>
    <w:rsid w:val="00BB515C"/>
    <w:rsid w:val="00BB59F4"/>
    <w:rsid w:val="00BB60B2"/>
    <w:rsid w:val="00BB62C2"/>
    <w:rsid w:val="00BB66AD"/>
    <w:rsid w:val="00BB76AC"/>
    <w:rsid w:val="00BB78B4"/>
    <w:rsid w:val="00BC1C6B"/>
    <w:rsid w:val="00BC2C7B"/>
    <w:rsid w:val="00BC2D72"/>
    <w:rsid w:val="00BC3649"/>
    <w:rsid w:val="00BC3960"/>
    <w:rsid w:val="00BC4373"/>
    <w:rsid w:val="00BC637B"/>
    <w:rsid w:val="00BC6F0B"/>
    <w:rsid w:val="00BC7648"/>
    <w:rsid w:val="00BC7811"/>
    <w:rsid w:val="00BC7AA5"/>
    <w:rsid w:val="00BD086B"/>
    <w:rsid w:val="00BD0A69"/>
    <w:rsid w:val="00BD1B23"/>
    <w:rsid w:val="00BD3E2A"/>
    <w:rsid w:val="00BD3E33"/>
    <w:rsid w:val="00BD48FE"/>
    <w:rsid w:val="00BD4D3D"/>
    <w:rsid w:val="00BD560C"/>
    <w:rsid w:val="00BD7587"/>
    <w:rsid w:val="00BE05F6"/>
    <w:rsid w:val="00BE13BE"/>
    <w:rsid w:val="00BE1799"/>
    <w:rsid w:val="00BE2494"/>
    <w:rsid w:val="00BE461F"/>
    <w:rsid w:val="00BE5A45"/>
    <w:rsid w:val="00BE63EE"/>
    <w:rsid w:val="00BE6E11"/>
    <w:rsid w:val="00BF0EE0"/>
    <w:rsid w:val="00BF1DE4"/>
    <w:rsid w:val="00BF3859"/>
    <w:rsid w:val="00BF4D45"/>
    <w:rsid w:val="00BF5C26"/>
    <w:rsid w:val="00BF5C47"/>
    <w:rsid w:val="00BF62EA"/>
    <w:rsid w:val="00BF69EC"/>
    <w:rsid w:val="00C0009A"/>
    <w:rsid w:val="00C0138E"/>
    <w:rsid w:val="00C02631"/>
    <w:rsid w:val="00C03877"/>
    <w:rsid w:val="00C03D87"/>
    <w:rsid w:val="00C055BB"/>
    <w:rsid w:val="00C06284"/>
    <w:rsid w:val="00C07D98"/>
    <w:rsid w:val="00C100AC"/>
    <w:rsid w:val="00C10D18"/>
    <w:rsid w:val="00C14513"/>
    <w:rsid w:val="00C14E1D"/>
    <w:rsid w:val="00C14E2A"/>
    <w:rsid w:val="00C1516B"/>
    <w:rsid w:val="00C157B7"/>
    <w:rsid w:val="00C15D0C"/>
    <w:rsid w:val="00C20BA7"/>
    <w:rsid w:val="00C21A49"/>
    <w:rsid w:val="00C223E2"/>
    <w:rsid w:val="00C270E9"/>
    <w:rsid w:val="00C302BA"/>
    <w:rsid w:val="00C3153D"/>
    <w:rsid w:val="00C31E83"/>
    <w:rsid w:val="00C34327"/>
    <w:rsid w:val="00C34368"/>
    <w:rsid w:val="00C37F4B"/>
    <w:rsid w:val="00C4053F"/>
    <w:rsid w:val="00C40CDB"/>
    <w:rsid w:val="00C4131C"/>
    <w:rsid w:val="00C4233B"/>
    <w:rsid w:val="00C43ABA"/>
    <w:rsid w:val="00C44870"/>
    <w:rsid w:val="00C448B7"/>
    <w:rsid w:val="00C4500B"/>
    <w:rsid w:val="00C45613"/>
    <w:rsid w:val="00C46C8B"/>
    <w:rsid w:val="00C479D7"/>
    <w:rsid w:val="00C50A2B"/>
    <w:rsid w:val="00C51944"/>
    <w:rsid w:val="00C53EA9"/>
    <w:rsid w:val="00C542A2"/>
    <w:rsid w:val="00C55824"/>
    <w:rsid w:val="00C56251"/>
    <w:rsid w:val="00C572AF"/>
    <w:rsid w:val="00C6025E"/>
    <w:rsid w:val="00C60F56"/>
    <w:rsid w:val="00C62F58"/>
    <w:rsid w:val="00C65104"/>
    <w:rsid w:val="00C70535"/>
    <w:rsid w:val="00C7466A"/>
    <w:rsid w:val="00C758BB"/>
    <w:rsid w:val="00C75AD9"/>
    <w:rsid w:val="00C760B1"/>
    <w:rsid w:val="00C76C33"/>
    <w:rsid w:val="00C77A0C"/>
    <w:rsid w:val="00C77A79"/>
    <w:rsid w:val="00C8122A"/>
    <w:rsid w:val="00C82285"/>
    <w:rsid w:val="00C8234E"/>
    <w:rsid w:val="00C8253E"/>
    <w:rsid w:val="00C829D8"/>
    <w:rsid w:val="00C83159"/>
    <w:rsid w:val="00C84F7E"/>
    <w:rsid w:val="00C85E92"/>
    <w:rsid w:val="00C863A0"/>
    <w:rsid w:val="00C86C2F"/>
    <w:rsid w:val="00C873A6"/>
    <w:rsid w:val="00C87689"/>
    <w:rsid w:val="00C87A1D"/>
    <w:rsid w:val="00C87A4F"/>
    <w:rsid w:val="00C90B11"/>
    <w:rsid w:val="00C92EF2"/>
    <w:rsid w:val="00C94529"/>
    <w:rsid w:val="00C9642B"/>
    <w:rsid w:val="00C96779"/>
    <w:rsid w:val="00C969DF"/>
    <w:rsid w:val="00C96B04"/>
    <w:rsid w:val="00C96BF3"/>
    <w:rsid w:val="00C96BF7"/>
    <w:rsid w:val="00C97486"/>
    <w:rsid w:val="00CA0293"/>
    <w:rsid w:val="00CA3C20"/>
    <w:rsid w:val="00CA3F28"/>
    <w:rsid w:val="00CA538B"/>
    <w:rsid w:val="00CA7226"/>
    <w:rsid w:val="00CB006C"/>
    <w:rsid w:val="00CB0EA6"/>
    <w:rsid w:val="00CB4ECC"/>
    <w:rsid w:val="00CB5842"/>
    <w:rsid w:val="00CB733A"/>
    <w:rsid w:val="00CB738C"/>
    <w:rsid w:val="00CB756C"/>
    <w:rsid w:val="00CC0E32"/>
    <w:rsid w:val="00CC2729"/>
    <w:rsid w:val="00CC2EF4"/>
    <w:rsid w:val="00CC4F9F"/>
    <w:rsid w:val="00CC5EBB"/>
    <w:rsid w:val="00CC717A"/>
    <w:rsid w:val="00CD062D"/>
    <w:rsid w:val="00CD0777"/>
    <w:rsid w:val="00CD0AF0"/>
    <w:rsid w:val="00CD0BA2"/>
    <w:rsid w:val="00CD1212"/>
    <w:rsid w:val="00CD1581"/>
    <w:rsid w:val="00CD251D"/>
    <w:rsid w:val="00CD2AC6"/>
    <w:rsid w:val="00CD3323"/>
    <w:rsid w:val="00CD355D"/>
    <w:rsid w:val="00CD41ED"/>
    <w:rsid w:val="00CD4D82"/>
    <w:rsid w:val="00CD5445"/>
    <w:rsid w:val="00CD69B8"/>
    <w:rsid w:val="00CE06D9"/>
    <w:rsid w:val="00CE3B2B"/>
    <w:rsid w:val="00CE3C0E"/>
    <w:rsid w:val="00CE3EF8"/>
    <w:rsid w:val="00CE484B"/>
    <w:rsid w:val="00CE4891"/>
    <w:rsid w:val="00CE4ED2"/>
    <w:rsid w:val="00CE7077"/>
    <w:rsid w:val="00CF0568"/>
    <w:rsid w:val="00CF05FE"/>
    <w:rsid w:val="00CF0A8B"/>
    <w:rsid w:val="00CF0FEE"/>
    <w:rsid w:val="00CF2222"/>
    <w:rsid w:val="00CF3C93"/>
    <w:rsid w:val="00CF50BA"/>
    <w:rsid w:val="00CF62AF"/>
    <w:rsid w:val="00CF69BF"/>
    <w:rsid w:val="00CF6E34"/>
    <w:rsid w:val="00CF7876"/>
    <w:rsid w:val="00D009E8"/>
    <w:rsid w:val="00D00B27"/>
    <w:rsid w:val="00D062A2"/>
    <w:rsid w:val="00D079A6"/>
    <w:rsid w:val="00D07EB5"/>
    <w:rsid w:val="00D10087"/>
    <w:rsid w:val="00D10D2D"/>
    <w:rsid w:val="00D15A33"/>
    <w:rsid w:val="00D1624D"/>
    <w:rsid w:val="00D1676F"/>
    <w:rsid w:val="00D16F68"/>
    <w:rsid w:val="00D20010"/>
    <w:rsid w:val="00D203D4"/>
    <w:rsid w:val="00D25126"/>
    <w:rsid w:val="00D25B41"/>
    <w:rsid w:val="00D26590"/>
    <w:rsid w:val="00D269C1"/>
    <w:rsid w:val="00D271D3"/>
    <w:rsid w:val="00D27247"/>
    <w:rsid w:val="00D2748F"/>
    <w:rsid w:val="00D27AC8"/>
    <w:rsid w:val="00D27F80"/>
    <w:rsid w:val="00D300C3"/>
    <w:rsid w:val="00D34A60"/>
    <w:rsid w:val="00D34C24"/>
    <w:rsid w:val="00D37D63"/>
    <w:rsid w:val="00D37FC8"/>
    <w:rsid w:val="00D41192"/>
    <w:rsid w:val="00D43954"/>
    <w:rsid w:val="00D448EF"/>
    <w:rsid w:val="00D44D3A"/>
    <w:rsid w:val="00D45954"/>
    <w:rsid w:val="00D462B9"/>
    <w:rsid w:val="00D46488"/>
    <w:rsid w:val="00D47152"/>
    <w:rsid w:val="00D502A8"/>
    <w:rsid w:val="00D505AD"/>
    <w:rsid w:val="00D5076B"/>
    <w:rsid w:val="00D518C4"/>
    <w:rsid w:val="00D5388A"/>
    <w:rsid w:val="00D53929"/>
    <w:rsid w:val="00D54E3E"/>
    <w:rsid w:val="00D556D1"/>
    <w:rsid w:val="00D560C4"/>
    <w:rsid w:val="00D56251"/>
    <w:rsid w:val="00D56953"/>
    <w:rsid w:val="00D603B7"/>
    <w:rsid w:val="00D60CBB"/>
    <w:rsid w:val="00D61E43"/>
    <w:rsid w:val="00D6235B"/>
    <w:rsid w:val="00D63241"/>
    <w:rsid w:val="00D64539"/>
    <w:rsid w:val="00D65594"/>
    <w:rsid w:val="00D65787"/>
    <w:rsid w:val="00D6581A"/>
    <w:rsid w:val="00D673FF"/>
    <w:rsid w:val="00D709A4"/>
    <w:rsid w:val="00D70C61"/>
    <w:rsid w:val="00D723AD"/>
    <w:rsid w:val="00D7382A"/>
    <w:rsid w:val="00D74C6C"/>
    <w:rsid w:val="00D7678F"/>
    <w:rsid w:val="00D81D31"/>
    <w:rsid w:val="00D8219D"/>
    <w:rsid w:val="00D827E8"/>
    <w:rsid w:val="00D838DF"/>
    <w:rsid w:val="00D8431B"/>
    <w:rsid w:val="00D85172"/>
    <w:rsid w:val="00D851A9"/>
    <w:rsid w:val="00D867B2"/>
    <w:rsid w:val="00D90C22"/>
    <w:rsid w:val="00D91953"/>
    <w:rsid w:val="00D91A52"/>
    <w:rsid w:val="00D9263B"/>
    <w:rsid w:val="00D9295F"/>
    <w:rsid w:val="00D92B41"/>
    <w:rsid w:val="00D92D02"/>
    <w:rsid w:val="00D93203"/>
    <w:rsid w:val="00D94529"/>
    <w:rsid w:val="00D955D1"/>
    <w:rsid w:val="00D97D5D"/>
    <w:rsid w:val="00DA0D32"/>
    <w:rsid w:val="00DA1A27"/>
    <w:rsid w:val="00DA2B79"/>
    <w:rsid w:val="00DA3324"/>
    <w:rsid w:val="00DA35A9"/>
    <w:rsid w:val="00DA3B9E"/>
    <w:rsid w:val="00DA42F7"/>
    <w:rsid w:val="00DB14F7"/>
    <w:rsid w:val="00DB2125"/>
    <w:rsid w:val="00DB2CCC"/>
    <w:rsid w:val="00DB2F8A"/>
    <w:rsid w:val="00DB4686"/>
    <w:rsid w:val="00DB4F47"/>
    <w:rsid w:val="00DB5C80"/>
    <w:rsid w:val="00DB6586"/>
    <w:rsid w:val="00DC071D"/>
    <w:rsid w:val="00DC0975"/>
    <w:rsid w:val="00DC2520"/>
    <w:rsid w:val="00DC5DC0"/>
    <w:rsid w:val="00DC77C0"/>
    <w:rsid w:val="00DD42FC"/>
    <w:rsid w:val="00DD5564"/>
    <w:rsid w:val="00DD5EB5"/>
    <w:rsid w:val="00DD6157"/>
    <w:rsid w:val="00DE3765"/>
    <w:rsid w:val="00DE4CFB"/>
    <w:rsid w:val="00DE576B"/>
    <w:rsid w:val="00DE5A52"/>
    <w:rsid w:val="00DE639F"/>
    <w:rsid w:val="00DE6DCD"/>
    <w:rsid w:val="00DE7BFB"/>
    <w:rsid w:val="00DF0112"/>
    <w:rsid w:val="00DF0430"/>
    <w:rsid w:val="00DF0614"/>
    <w:rsid w:val="00DF0A3F"/>
    <w:rsid w:val="00DF0EA5"/>
    <w:rsid w:val="00DF1175"/>
    <w:rsid w:val="00DF205E"/>
    <w:rsid w:val="00DF3680"/>
    <w:rsid w:val="00DF3899"/>
    <w:rsid w:val="00DF3F58"/>
    <w:rsid w:val="00DF4B06"/>
    <w:rsid w:val="00DF5EAC"/>
    <w:rsid w:val="00DF61A5"/>
    <w:rsid w:val="00DF6736"/>
    <w:rsid w:val="00DF75FA"/>
    <w:rsid w:val="00E0169B"/>
    <w:rsid w:val="00E02DC1"/>
    <w:rsid w:val="00E045FA"/>
    <w:rsid w:val="00E05461"/>
    <w:rsid w:val="00E06D48"/>
    <w:rsid w:val="00E077BB"/>
    <w:rsid w:val="00E12999"/>
    <w:rsid w:val="00E129F2"/>
    <w:rsid w:val="00E12CD7"/>
    <w:rsid w:val="00E13B3B"/>
    <w:rsid w:val="00E140E0"/>
    <w:rsid w:val="00E1458E"/>
    <w:rsid w:val="00E1634E"/>
    <w:rsid w:val="00E16915"/>
    <w:rsid w:val="00E169D3"/>
    <w:rsid w:val="00E16A02"/>
    <w:rsid w:val="00E173DE"/>
    <w:rsid w:val="00E17BBD"/>
    <w:rsid w:val="00E21229"/>
    <w:rsid w:val="00E212BB"/>
    <w:rsid w:val="00E23350"/>
    <w:rsid w:val="00E233FF"/>
    <w:rsid w:val="00E23D04"/>
    <w:rsid w:val="00E24E06"/>
    <w:rsid w:val="00E257F3"/>
    <w:rsid w:val="00E31931"/>
    <w:rsid w:val="00E31DB8"/>
    <w:rsid w:val="00E33844"/>
    <w:rsid w:val="00E33C60"/>
    <w:rsid w:val="00E3557C"/>
    <w:rsid w:val="00E3602B"/>
    <w:rsid w:val="00E36D4C"/>
    <w:rsid w:val="00E37DF3"/>
    <w:rsid w:val="00E411B7"/>
    <w:rsid w:val="00E4265B"/>
    <w:rsid w:val="00E42DB9"/>
    <w:rsid w:val="00E43C13"/>
    <w:rsid w:val="00E44427"/>
    <w:rsid w:val="00E4467C"/>
    <w:rsid w:val="00E463AF"/>
    <w:rsid w:val="00E475E0"/>
    <w:rsid w:val="00E5034D"/>
    <w:rsid w:val="00E510CE"/>
    <w:rsid w:val="00E5258B"/>
    <w:rsid w:val="00E529A0"/>
    <w:rsid w:val="00E571FB"/>
    <w:rsid w:val="00E606F6"/>
    <w:rsid w:val="00E620E3"/>
    <w:rsid w:val="00E62A16"/>
    <w:rsid w:val="00E6321C"/>
    <w:rsid w:val="00E63581"/>
    <w:rsid w:val="00E64390"/>
    <w:rsid w:val="00E64A45"/>
    <w:rsid w:val="00E67093"/>
    <w:rsid w:val="00E67937"/>
    <w:rsid w:val="00E70381"/>
    <w:rsid w:val="00E70720"/>
    <w:rsid w:val="00E70AE7"/>
    <w:rsid w:val="00E7102E"/>
    <w:rsid w:val="00E71038"/>
    <w:rsid w:val="00E74BD8"/>
    <w:rsid w:val="00E74FA0"/>
    <w:rsid w:val="00E7512D"/>
    <w:rsid w:val="00E75A80"/>
    <w:rsid w:val="00E76559"/>
    <w:rsid w:val="00E76984"/>
    <w:rsid w:val="00E77AB8"/>
    <w:rsid w:val="00E81AE4"/>
    <w:rsid w:val="00E81D12"/>
    <w:rsid w:val="00E82C05"/>
    <w:rsid w:val="00E83027"/>
    <w:rsid w:val="00E84224"/>
    <w:rsid w:val="00E84683"/>
    <w:rsid w:val="00E84E63"/>
    <w:rsid w:val="00E87F67"/>
    <w:rsid w:val="00E91E4D"/>
    <w:rsid w:val="00E9699A"/>
    <w:rsid w:val="00E97767"/>
    <w:rsid w:val="00EA04AC"/>
    <w:rsid w:val="00EA05E9"/>
    <w:rsid w:val="00EA0AC5"/>
    <w:rsid w:val="00EA1603"/>
    <w:rsid w:val="00EA2211"/>
    <w:rsid w:val="00EA3B15"/>
    <w:rsid w:val="00EA3F34"/>
    <w:rsid w:val="00EA40B8"/>
    <w:rsid w:val="00EA5F21"/>
    <w:rsid w:val="00EA613B"/>
    <w:rsid w:val="00EA64D0"/>
    <w:rsid w:val="00EB12D8"/>
    <w:rsid w:val="00EB3032"/>
    <w:rsid w:val="00EB4790"/>
    <w:rsid w:val="00EB4E79"/>
    <w:rsid w:val="00EB5941"/>
    <w:rsid w:val="00EB61C6"/>
    <w:rsid w:val="00EB63B5"/>
    <w:rsid w:val="00EB7579"/>
    <w:rsid w:val="00EB7CCF"/>
    <w:rsid w:val="00EC2874"/>
    <w:rsid w:val="00EC2E19"/>
    <w:rsid w:val="00EC3778"/>
    <w:rsid w:val="00EC441C"/>
    <w:rsid w:val="00EC4674"/>
    <w:rsid w:val="00EC4BA7"/>
    <w:rsid w:val="00EC5390"/>
    <w:rsid w:val="00EC5AAE"/>
    <w:rsid w:val="00EC7042"/>
    <w:rsid w:val="00ED0239"/>
    <w:rsid w:val="00ED0EAF"/>
    <w:rsid w:val="00ED1899"/>
    <w:rsid w:val="00ED1D67"/>
    <w:rsid w:val="00ED1FDB"/>
    <w:rsid w:val="00ED3F6A"/>
    <w:rsid w:val="00ED442B"/>
    <w:rsid w:val="00ED4D92"/>
    <w:rsid w:val="00ED52D2"/>
    <w:rsid w:val="00ED77A9"/>
    <w:rsid w:val="00ED7A5D"/>
    <w:rsid w:val="00ED7F92"/>
    <w:rsid w:val="00EE0283"/>
    <w:rsid w:val="00EE0533"/>
    <w:rsid w:val="00EE0936"/>
    <w:rsid w:val="00EE10D6"/>
    <w:rsid w:val="00EE1403"/>
    <w:rsid w:val="00EE2739"/>
    <w:rsid w:val="00EE3EC3"/>
    <w:rsid w:val="00EE41B2"/>
    <w:rsid w:val="00EE471D"/>
    <w:rsid w:val="00EE6B53"/>
    <w:rsid w:val="00EF1732"/>
    <w:rsid w:val="00EF34D6"/>
    <w:rsid w:val="00EF445B"/>
    <w:rsid w:val="00EF44D2"/>
    <w:rsid w:val="00EF470D"/>
    <w:rsid w:val="00EF5F36"/>
    <w:rsid w:val="00EF5FA5"/>
    <w:rsid w:val="00EF651D"/>
    <w:rsid w:val="00F00005"/>
    <w:rsid w:val="00F00D42"/>
    <w:rsid w:val="00F012D7"/>
    <w:rsid w:val="00F03567"/>
    <w:rsid w:val="00F042DA"/>
    <w:rsid w:val="00F0529B"/>
    <w:rsid w:val="00F05922"/>
    <w:rsid w:val="00F06032"/>
    <w:rsid w:val="00F06D0C"/>
    <w:rsid w:val="00F079F5"/>
    <w:rsid w:val="00F10033"/>
    <w:rsid w:val="00F1040A"/>
    <w:rsid w:val="00F108F6"/>
    <w:rsid w:val="00F11B93"/>
    <w:rsid w:val="00F12A03"/>
    <w:rsid w:val="00F12A4D"/>
    <w:rsid w:val="00F13C09"/>
    <w:rsid w:val="00F13D1E"/>
    <w:rsid w:val="00F1415A"/>
    <w:rsid w:val="00F14846"/>
    <w:rsid w:val="00F150A6"/>
    <w:rsid w:val="00F174F6"/>
    <w:rsid w:val="00F20BAF"/>
    <w:rsid w:val="00F20C38"/>
    <w:rsid w:val="00F23BF6"/>
    <w:rsid w:val="00F24FE1"/>
    <w:rsid w:val="00F25178"/>
    <w:rsid w:val="00F26655"/>
    <w:rsid w:val="00F26E9C"/>
    <w:rsid w:val="00F27246"/>
    <w:rsid w:val="00F2764F"/>
    <w:rsid w:val="00F27D1C"/>
    <w:rsid w:val="00F303D6"/>
    <w:rsid w:val="00F3329B"/>
    <w:rsid w:val="00F3355D"/>
    <w:rsid w:val="00F3400B"/>
    <w:rsid w:val="00F3645D"/>
    <w:rsid w:val="00F371A9"/>
    <w:rsid w:val="00F40D8E"/>
    <w:rsid w:val="00F40F80"/>
    <w:rsid w:val="00F419B9"/>
    <w:rsid w:val="00F41CA1"/>
    <w:rsid w:val="00F42E9F"/>
    <w:rsid w:val="00F440A3"/>
    <w:rsid w:val="00F445D4"/>
    <w:rsid w:val="00F45D60"/>
    <w:rsid w:val="00F462B3"/>
    <w:rsid w:val="00F50CE0"/>
    <w:rsid w:val="00F52EBF"/>
    <w:rsid w:val="00F52EFB"/>
    <w:rsid w:val="00F5355D"/>
    <w:rsid w:val="00F541A9"/>
    <w:rsid w:val="00F54832"/>
    <w:rsid w:val="00F56332"/>
    <w:rsid w:val="00F56CCA"/>
    <w:rsid w:val="00F60BCD"/>
    <w:rsid w:val="00F6154D"/>
    <w:rsid w:val="00F63B68"/>
    <w:rsid w:val="00F6419B"/>
    <w:rsid w:val="00F66C39"/>
    <w:rsid w:val="00F7077F"/>
    <w:rsid w:val="00F71388"/>
    <w:rsid w:val="00F71596"/>
    <w:rsid w:val="00F71A89"/>
    <w:rsid w:val="00F72667"/>
    <w:rsid w:val="00F746F3"/>
    <w:rsid w:val="00F75398"/>
    <w:rsid w:val="00F779F2"/>
    <w:rsid w:val="00F81A03"/>
    <w:rsid w:val="00F81E3A"/>
    <w:rsid w:val="00F81F87"/>
    <w:rsid w:val="00F8202B"/>
    <w:rsid w:val="00F823BD"/>
    <w:rsid w:val="00F84C4C"/>
    <w:rsid w:val="00F85DC8"/>
    <w:rsid w:val="00F86924"/>
    <w:rsid w:val="00F86A70"/>
    <w:rsid w:val="00F90626"/>
    <w:rsid w:val="00F90A0D"/>
    <w:rsid w:val="00F91763"/>
    <w:rsid w:val="00F92686"/>
    <w:rsid w:val="00F9319C"/>
    <w:rsid w:val="00F93312"/>
    <w:rsid w:val="00F9455C"/>
    <w:rsid w:val="00F95226"/>
    <w:rsid w:val="00F96964"/>
    <w:rsid w:val="00F96BD9"/>
    <w:rsid w:val="00F96E5F"/>
    <w:rsid w:val="00F97740"/>
    <w:rsid w:val="00FA020F"/>
    <w:rsid w:val="00FA156B"/>
    <w:rsid w:val="00FA249E"/>
    <w:rsid w:val="00FA351F"/>
    <w:rsid w:val="00FA35D0"/>
    <w:rsid w:val="00FA604E"/>
    <w:rsid w:val="00FA63C1"/>
    <w:rsid w:val="00FA6422"/>
    <w:rsid w:val="00FA7065"/>
    <w:rsid w:val="00FA7A12"/>
    <w:rsid w:val="00FB1EDF"/>
    <w:rsid w:val="00FB3129"/>
    <w:rsid w:val="00FB6367"/>
    <w:rsid w:val="00FB6C41"/>
    <w:rsid w:val="00FB6CE2"/>
    <w:rsid w:val="00FB6D7E"/>
    <w:rsid w:val="00FB7AFF"/>
    <w:rsid w:val="00FC215B"/>
    <w:rsid w:val="00FC23E5"/>
    <w:rsid w:val="00FC2CE7"/>
    <w:rsid w:val="00FC3EEA"/>
    <w:rsid w:val="00FC4022"/>
    <w:rsid w:val="00FC41B1"/>
    <w:rsid w:val="00FC46D1"/>
    <w:rsid w:val="00FC4EAE"/>
    <w:rsid w:val="00FC5136"/>
    <w:rsid w:val="00FC7DEB"/>
    <w:rsid w:val="00FC7F5B"/>
    <w:rsid w:val="00FD0056"/>
    <w:rsid w:val="00FD0DB1"/>
    <w:rsid w:val="00FD541D"/>
    <w:rsid w:val="00FD5A22"/>
    <w:rsid w:val="00FD5BA1"/>
    <w:rsid w:val="00FE01F4"/>
    <w:rsid w:val="00FE0761"/>
    <w:rsid w:val="00FE0853"/>
    <w:rsid w:val="00FE180D"/>
    <w:rsid w:val="00FE194E"/>
    <w:rsid w:val="00FE248C"/>
    <w:rsid w:val="00FE4ECE"/>
    <w:rsid w:val="00FE67A8"/>
    <w:rsid w:val="00FF5580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8726B"/>
  <w15:chartTrackingRefBased/>
  <w15:docId w15:val="{13E370C3-125D-481A-B1E2-989F94BD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4D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3F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37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EDF"/>
  </w:style>
  <w:style w:type="paragraph" w:styleId="Footer">
    <w:name w:val="footer"/>
    <w:basedOn w:val="Normal"/>
    <w:link w:val="FooterChar"/>
    <w:uiPriority w:val="99"/>
    <w:unhideWhenUsed/>
    <w:rsid w:val="00FB1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EDF"/>
  </w:style>
  <w:style w:type="paragraph" w:styleId="NoSpacing">
    <w:name w:val="No Spacing"/>
    <w:link w:val="NoSpacingChar"/>
    <w:uiPriority w:val="1"/>
    <w:qFormat/>
    <w:rsid w:val="00FB1ED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B1EDF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543367"/>
    <w:rPr>
      <w:color w:val="808080"/>
    </w:rPr>
  </w:style>
  <w:style w:type="paragraph" w:styleId="ListParagraph">
    <w:name w:val="List Paragraph"/>
    <w:basedOn w:val="Normal"/>
    <w:uiPriority w:val="34"/>
    <w:qFormat/>
    <w:rsid w:val="00D471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0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09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09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9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97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0A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0A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0A8B"/>
    <w:rPr>
      <w:vertAlign w:val="superscript"/>
    </w:rPr>
  </w:style>
  <w:style w:type="paragraph" w:styleId="Revision">
    <w:name w:val="Revision"/>
    <w:hidden/>
    <w:uiPriority w:val="99"/>
    <w:semiHidden/>
    <w:rsid w:val="00BE05F6"/>
    <w:pPr>
      <w:spacing w:after="0" w:line="240" w:lineRule="auto"/>
    </w:pPr>
  </w:style>
  <w:style w:type="table" w:styleId="TableGrid">
    <w:name w:val="Table Grid"/>
    <w:basedOn w:val="TableNormal"/>
    <w:uiPriority w:val="39"/>
    <w:rsid w:val="00AB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3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4D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PlainTable5">
    <w:name w:val="Plain Table 5"/>
    <w:basedOn w:val="TableNormal"/>
    <w:uiPriority w:val="45"/>
    <w:rsid w:val="00C0009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5">
    <w:name w:val="Grid Table 2 Accent 5"/>
    <w:basedOn w:val="TableNormal"/>
    <w:uiPriority w:val="47"/>
    <w:rsid w:val="00C0009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3-Accent1">
    <w:name w:val="Grid Table 3 Accent 1"/>
    <w:basedOn w:val="TableNormal"/>
    <w:uiPriority w:val="48"/>
    <w:rsid w:val="00C0009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E3F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2-Accent1">
    <w:name w:val="Grid Table 2 Accent 1"/>
    <w:basedOn w:val="TableNormal"/>
    <w:uiPriority w:val="47"/>
    <w:rsid w:val="0063204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63204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0366A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81377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dTable3-Accent5">
    <w:name w:val="Grid Table 3 Accent 5"/>
    <w:basedOn w:val="TableNormal"/>
    <w:uiPriority w:val="48"/>
    <w:rsid w:val="00CF05F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E3BC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747A9"/>
    <w:pPr>
      <w:spacing w:after="120" w:line="276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747A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1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8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2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4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8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1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8872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47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661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35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54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4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509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159">
          <w:marLeft w:val="10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5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894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086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2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6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377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1504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098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2040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401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52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0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6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767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654">
          <w:marLeft w:val="109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389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947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0385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494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102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7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8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4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58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so.ca/en/Sector-Participants/Settlements/Global-Adjustment-Class-A-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FEC4F3F085C42AE856FB37D6441FE" ma:contentTypeVersion="10" ma:contentTypeDescription="Create a new document." ma:contentTypeScope="" ma:versionID="a903a99def47fc4a8cbc72bbb9538b0c">
  <xsd:schema xmlns:xsd="http://www.w3.org/2001/XMLSchema" xmlns:xs="http://www.w3.org/2001/XMLSchema" xmlns:p="http://schemas.microsoft.com/office/2006/metadata/properties" xmlns:ns3="4b265e71-f343-4c34-bd05-826252c51855" xmlns:ns4="67bd9f97-d8a4-4110-aa76-ac06fd6996e3" targetNamespace="http://schemas.microsoft.com/office/2006/metadata/properties" ma:root="true" ma:fieldsID="3cef48e5250e0b99fb16cdd970f8b91d" ns3:_="" ns4:_="">
    <xsd:import namespace="4b265e71-f343-4c34-bd05-826252c51855"/>
    <xsd:import namespace="67bd9f97-d8a4-4110-aa76-ac06fd6996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65e71-f343-4c34-bd05-826252c518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d9f97-d8a4-4110-aa76-ac06fd699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E39FF-7FF6-4AAD-8A7A-3A457EE92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427295-71AE-4E45-93DD-D72E79FC50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39FFFC-A355-4734-878A-1F34F6DB8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65e71-f343-4c34-bd05-826252c51855"/>
    <ds:schemaRef ds:uri="67bd9f97-d8a4-4110-aa76-ac06fd699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091D7C-A6A3-457F-9FDA-7366141B2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 Analysis Workform Instructions - 2022 Rates</vt:lpstr>
    </vt:vector>
  </TitlesOfParts>
  <Company>Ontario Energy Board</Company>
  <LinksUpToDate>false</LinksUpToDate>
  <CharactersWithSpaces>17738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 Analysis Workform Instructions - 2022 Rates</dc:title>
  <dc:subject/>
  <dc:creator>June Colman</dc:creator>
  <cp:keywords/>
  <dc:description/>
  <cp:lastModifiedBy>Donald Lau</cp:lastModifiedBy>
  <cp:revision>4</cp:revision>
  <cp:lastPrinted>2018-07-12T16:30:00Z</cp:lastPrinted>
  <dcterms:created xsi:type="dcterms:W3CDTF">2023-06-21T19:33:00Z</dcterms:created>
  <dcterms:modified xsi:type="dcterms:W3CDTF">2023-06-23T14:47:00Z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0x010100B1BFEC4F3F085C42AE856FB37D6441FE</vt:lpwstr>
  </property>
  <property fmtid="{D5CDD505-2E9C-101B-9397-08002B2CF9AE}" pid="3" name="GrammarlyDocumentId">
    <vt:lpwstr>edf53a3cf9229baa0a4e1a8dfb79b28825ba7aa8ebec77a4cae94253b5fccd2f</vt:lpwstr>
  </property>
</Properties>
</file>